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2C1A1" w14:textId="0E357242" w:rsidR="005C2A3C" w:rsidRDefault="00DC0790" w:rsidP="005C2A3C">
      <w:pPr>
        <w:jc w:val="center"/>
        <w:rPr>
          <w:b/>
          <w:bCs/>
          <w:sz w:val="32"/>
          <w:szCs w:val="32"/>
        </w:rPr>
      </w:pPr>
      <w:r>
        <w:rPr>
          <w:b/>
          <w:bCs/>
          <w:sz w:val="32"/>
          <w:szCs w:val="32"/>
        </w:rPr>
        <w:t>Public</w:t>
      </w:r>
      <w:r w:rsidR="00F648CE">
        <w:rPr>
          <w:b/>
          <w:bCs/>
          <w:sz w:val="32"/>
          <w:szCs w:val="32"/>
        </w:rPr>
        <w:t xml:space="preserve"> </w:t>
      </w:r>
      <w:r w:rsidR="005C2A3C">
        <w:rPr>
          <w:b/>
          <w:bCs/>
          <w:sz w:val="32"/>
          <w:szCs w:val="32"/>
        </w:rPr>
        <w:t>Quarterly Report</w:t>
      </w:r>
    </w:p>
    <w:p w14:paraId="2DAB4735" w14:textId="77777777" w:rsidR="005C2A3C" w:rsidRDefault="005C2A3C" w:rsidP="00863949">
      <w:pPr>
        <w:ind w:left="720"/>
      </w:pPr>
      <w:r>
        <w:t> </w:t>
      </w:r>
    </w:p>
    <w:p w14:paraId="1ED790B3" w14:textId="48DA775B" w:rsidR="002B1747" w:rsidRPr="002B1747" w:rsidRDefault="002B1747" w:rsidP="002B1747">
      <w:pPr>
        <w:rPr>
          <w:iCs/>
        </w:rPr>
      </w:pPr>
      <w:r w:rsidRPr="002B1747">
        <w:rPr>
          <w:b/>
        </w:rPr>
        <w:t>Date of Report:</w:t>
      </w:r>
      <w:r w:rsidRPr="002B1747">
        <w:t xml:space="preserve"> </w:t>
      </w:r>
      <w:r w:rsidR="00F47098">
        <w:t>9</w:t>
      </w:r>
      <w:r w:rsidRPr="002B1747">
        <w:rPr>
          <w:iCs/>
          <w:vertAlign w:val="superscript"/>
        </w:rPr>
        <w:t>th</w:t>
      </w:r>
      <w:r w:rsidRPr="002B1747">
        <w:rPr>
          <w:iCs/>
        </w:rPr>
        <w:t xml:space="preserve"> Quarterly Report, </w:t>
      </w:r>
      <w:r w:rsidR="00047C67">
        <w:rPr>
          <w:iCs/>
        </w:rPr>
        <w:t>April</w:t>
      </w:r>
      <w:r w:rsidR="00843C29">
        <w:rPr>
          <w:iCs/>
        </w:rPr>
        <w:t xml:space="preserve"> </w:t>
      </w:r>
      <w:r w:rsidR="00047C67">
        <w:rPr>
          <w:iCs/>
        </w:rPr>
        <w:t>1</w:t>
      </w:r>
      <w:r w:rsidRPr="002B1747">
        <w:rPr>
          <w:iCs/>
        </w:rPr>
        <w:t>, 20</w:t>
      </w:r>
      <w:r w:rsidR="00843C29">
        <w:rPr>
          <w:iCs/>
        </w:rPr>
        <w:t>2</w:t>
      </w:r>
      <w:r w:rsidR="00F47098">
        <w:rPr>
          <w:iCs/>
        </w:rPr>
        <w:t>5</w:t>
      </w:r>
    </w:p>
    <w:p w14:paraId="4ED6F1B4" w14:textId="77777777" w:rsidR="002B1747" w:rsidRPr="002B1747" w:rsidRDefault="002B1747" w:rsidP="002B1747">
      <w:r w:rsidRPr="002B1747">
        <w:rPr>
          <w:b/>
        </w:rPr>
        <w:t>Contract Number:</w:t>
      </w:r>
      <w:r w:rsidRPr="002B1747">
        <w:t xml:space="preserve">  </w:t>
      </w:r>
      <w:r w:rsidRPr="002B1747">
        <w:rPr>
          <w:iCs/>
        </w:rPr>
        <w:t>693JK32210009POTA</w:t>
      </w:r>
    </w:p>
    <w:p w14:paraId="27035597" w14:textId="77777777" w:rsidR="002B1747" w:rsidRPr="002B1747" w:rsidRDefault="002B1747" w:rsidP="002B1747">
      <w:r w:rsidRPr="002B1747">
        <w:rPr>
          <w:b/>
        </w:rPr>
        <w:t>Prepared for:</w:t>
      </w:r>
      <w:r w:rsidRPr="002B1747">
        <w:t xml:space="preserve"> </w:t>
      </w:r>
      <w:r w:rsidRPr="002B1747">
        <w:rPr>
          <w:iCs/>
        </w:rPr>
        <w:t>Government Agency: DOT and Co-funders</w:t>
      </w:r>
    </w:p>
    <w:p w14:paraId="45F75B78" w14:textId="77777777" w:rsidR="002B1747" w:rsidRPr="002B1747" w:rsidRDefault="002B1747" w:rsidP="002B1747">
      <w:pPr>
        <w:rPr>
          <w:iCs/>
        </w:rPr>
      </w:pPr>
      <w:r w:rsidRPr="002B1747">
        <w:rPr>
          <w:b/>
        </w:rPr>
        <w:t>Project Title:</w:t>
      </w:r>
      <w:r w:rsidRPr="002B1747">
        <w:t xml:space="preserve"> </w:t>
      </w:r>
      <w:r w:rsidRPr="002B1747">
        <w:rPr>
          <w:iCs/>
        </w:rPr>
        <w:t>Innovative Leak Detection Methods for Gas and Liquid Pipelines</w:t>
      </w:r>
    </w:p>
    <w:p w14:paraId="3D7CEDB9" w14:textId="77777777" w:rsidR="002B1747" w:rsidRPr="002B1747" w:rsidRDefault="002B1747" w:rsidP="002B1747">
      <w:r w:rsidRPr="002B1747">
        <w:rPr>
          <w:b/>
        </w:rPr>
        <w:t>Prepared by:</w:t>
      </w:r>
      <w:r w:rsidRPr="002B1747">
        <w:t xml:space="preserve"> </w:t>
      </w:r>
      <w:r w:rsidRPr="002B1747">
        <w:rPr>
          <w:iCs/>
        </w:rPr>
        <w:t>Pipeline Research Council International, Inc.</w:t>
      </w:r>
    </w:p>
    <w:p w14:paraId="7CB8B7F5" w14:textId="77777777" w:rsidR="002B1747" w:rsidRPr="002B1747" w:rsidRDefault="002B1747" w:rsidP="002B1747">
      <w:pPr>
        <w:rPr>
          <w:iCs/>
        </w:rPr>
      </w:pPr>
      <w:r w:rsidRPr="002B1747">
        <w:rPr>
          <w:b/>
        </w:rPr>
        <w:t>Contact Information:</w:t>
      </w:r>
      <w:r w:rsidRPr="002B1747">
        <w:rPr>
          <w:i/>
        </w:rPr>
        <w:t xml:space="preserve"> </w:t>
      </w:r>
      <w:r w:rsidRPr="002B1747">
        <w:rPr>
          <w:iCs/>
        </w:rPr>
        <w:t>Gary Choquette: gchoquette@prci.org phone: 402-917-3395</w:t>
      </w:r>
    </w:p>
    <w:p w14:paraId="55762578" w14:textId="512F5697" w:rsidR="002B1747" w:rsidRPr="002B1747" w:rsidRDefault="002B1747" w:rsidP="002B1747">
      <w:pPr>
        <w:rPr>
          <w:b/>
          <w:iCs/>
        </w:rPr>
      </w:pPr>
      <w:r w:rsidRPr="002B1747">
        <w:rPr>
          <w:b/>
        </w:rPr>
        <w:t xml:space="preserve">For quarterly period ending: </w:t>
      </w:r>
      <w:r w:rsidR="00047C67">
        <w:rPr>
          <w:bCs/>
          <w:iCs/>
        </w:rPr>
        <w:t>March</w:t>
      </w:r>
      <w:r w:rsidR="00843C29">
        <w:rPr>
          <w:bCs/>
          <w:iCs/>
        </w:rPr>
        <w:t xml:space="preserve"> 30, 2024</w:t>
      </w:r>
    </w:p>
    <w:p w14:paraId="308842FD" w14:textId="77777777" w:rsidR="002B1747" w:rsidRPr="002B1747" w:rsidRDefault="002B1747" w:rsidP="002B1747">
      <w:pPr>
        <w:rPr>
          <w:b/>
        </w:rPr>
      </w:pPr>
    </w:p>
    <w:p w14:paraId="767EA7F1" w14:textId="77777777" w:rsidR="002B1747" w:rsidRPr="002B1747" w:rsidRDefault="002B1747" w:rsidP="002B1747">
      <w:pPr>
        <w:rPr>
          <w:b/>
        </w:rPr>
      </w:pPr>
      <w:r w:rsidRPr="002B1747">
        <w:rPr>
          <w:b/>
        </w:rPr>
        <w:t>1: Items Completed During this Quarterly Period:</w:t>
      </w:r>
    </w:p>
    <w:p w14:paraId="73FDC60E" w14:textId="77777777" w:rsidR="002B1747" w:rsidRPr="002B1747" w:rsidRDefault="002B1747" w:rsidP="002B1747">
      <w:pPr>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698"/>
        <w:gridCol w:w="3690"/>
        <w:gridCol w:w="2112"/>
        <w:gridCol w:w="1278"/>
        <w:gridCol w:w="30"/>
        <w:gridCol w:w="1080"/>
        <w:gridCol w:w="18"/>
      </w:tblGrid>
      <w:tr w:rsidR="002B1747" w:rsidRPr="002B1747" w14:paraId="2D7BFD12" w14:textId="77777777" w:rsidTr="00CB34ED">
        <w:trPr>
          <w:trHeight w:val="300"/>
        </w:trPr>
        <w:tc>
          <w:tcPr>
            <w:tcW w:w="670" w:type="dxa"/>
            <w:shd w:val="clear" w:color="auto" w:fill="auto"/>
          </w:tcPr>
          <w:p w14:paraId="69A3EA83" w14:textId="77777777" w:rsidR="002B1747" w:rsidRPr="002B1747" w:rsidRDefault="002B1747" w:rsidP="002B1747">
            <w:pPr>
              <w:rPr>
                <w:b/>
                <w:i/>
              </w:rPr>
            </w:pPr>
            <w:r w:rsidRPr="002B1747">
              <w:rPr>
                <w:b/>
                <w:i/>
              </w:rPr>
              <w:t>Item #</w:t>
            </w:r>
          </w:p>
        </w:tc>
        <w:tc>
          <w:tcPr>
            <w:tcW w:w="698" w:type="dxa"/>
          </w:tcPr>
          <w:p w14:paraId="5068A54A" w14:textId="77777777" w:rsidR="002B1747" w:rsidRPr="002B1747" w:rsidRDefault="002B1747" w:rsidP="002B1747">
            <w:pPr>
              <w:rPr>
                <w:b/>
                <w:i/>
              </w:rPr>
            </w:pPr>
            <w:r w:rsidRPr="002B1747">
              <w:rPr>
                <w:b/>
                <w:i/>
              </w:rPr>
              <w:t>Task #</w:t>
            </w:r>
          </w:p>
        </w:tc>
        <w:tc>
          <w:tcPr>
            <w:tcW w:w="3690" w:type="dxa"/>
            <w:shd w:val="clear" w:color="auto" w:fill="auto"/>
          </w:tcPr>
          <w:p w14:paraId="5999F1D5" w14:textId="77777777" w:rsidR="002B1747" w:rsidRPr="002B1747" w:rsidRDefault="002B1747" w:rsidP="002B1747">
            <w:pPr>
              <w:rPr>
                <w:b/>
                <w:i/>
              </w:rPr>
            </w:pPr>
            <w:r w:rsidRPr="002B1747">
              <w:rPr>
                <w:b/>
                <w:i/>
              </w:rPr>
              <w:t>Activity/Deliverable</w:t>
            </w:r>
          </w:p>
        </w:tc>
        <w:tc>
          <w:tcPr>
            <w:tcW w:w="2112" w:type="dxa"/>
            <w:shd w:val="clear" w:color="auto" w:fill="auto"/>
          </w:tcPr>
          <w:p w14:paraId="01DF4C14" w14:textId="77777777" w:rsidR="002B1747" w:rsidRPr="002B1747" w:rsidRDefault="002B1747" w:rsidP="002B1747">
            <w:pPr>
              <w:rPr>
                <w:b/>
                <w:i/>
              </w:rPr>
            </w:pPr>
            <w:r w:rsidRPr="002B1747">
              <w:rPr>
                <w:b/>
                <w:i/>
              </w:rPr>
              <w:t>Title</w:t>
            </w:r>
          </w:p>
        </w:tc>
        <w:tc>
          <w:tcPr>
            <w:tcW w:w="1278" w:type="dxa"/>
            <w:shd w:val="clear" w:color="auto" w:fill="auto"/>
          </w:tcPr>
          <w:p w14:paraId="6E764A9E" w14:textId="77777777" w:rsidR="002B1747" w:rsidRPr="002B1747" w:rsidRDefault="002B1747" w:rsidP="002B1747">
            <w:pPr>
              <w:rPr>
                <w:b/>
                <w:i/>
              </w:rPr>
            </w:pPr>
            <w:r w:rsidRPr="002B1747">
              <w:rPr>
                <w:b/>
                <w:i/>
              </w:rPr>
              <w:t>Federal Cost</w:t>
            </w:r>
          </w:p>
        </w:tc>
        <w:tc>
          <w:tcPr>
            <w:tcW w:w="1128" w:type="dxa"/>
            <w:gridSpan w:val="3"/>
            <w:shd w:val="clear" w:color="auto" w:fill="auto"/>
          </w:tcPr>
          <w:p w14:paraId="4B1987CF" w14:textId="77777777" w:rsidR="002B1747" w:rsidRPr="002B1747" w:rsidRDefault="002B1747" w:rsidP="002B1747">
            <w:pPr>
              <w:rPr>
                <w:b/>
                <w:i/>
              </w:rPr>
            </w:pPr>
            <w:r w:rsidRPr="002B1747">
              <w:rPr>
                <w:b/>
                <w:i/>
              </w:rPr>
              <w:t>Cost Share</w:t>
            </w:r>
          </w:p>
        </w:tc>
      </w:tr>
      <w:tr w:rsidR="00CB34ED" w:rsidRPr="002B1747" w14:paraId="6AE108C4" w14:textId="77777777" w:rsidTr="00CB34ED">
        <w:trPr>
          <w:gridAfter w:val="1"/>
          <w:wAfter w:w="18" w:type="dxa"/>
          <w:trHeight w:val="279"/>
        </w:trPr>
        <w:tc>
          <w:tcPr>
            <w:tcW w:w="670" w:type="dxa"/>
            <w:shd w:val="clear" w:color="auto" w:fill="auto"/>
          </w:tcPr>
          <w:p w14:paraId="08A87276" w14:textId="1E4E05E7" w:rsidR="00CB34ED" w:rsidRPr="002B1747" w:rsidRDefault="00CB34ED" w:rsidP="00CB34ED">
            <w:pPr>
              <w:rPr>
                <w:i/>
                <w:iCs/>
              </w:rPr>
            </w:pPr>
            <w:r w:rsidRPr="0004043B">
              <w:t>7</w:t>
            </w:r>
          </w:p>
        </w:tc>
        <w:tc>
          <w:tcPr>
            <w:tcW w:w="698" w:type="dxa"/>
          </w:tcPr>
          <w:p w14:paraId="413BC0F4" w14:textId="224242FC" w:rsidR="00CB34ED" w:rsidRPr="002B1747" w:rsidRDefault="00CB34ED" w:rsidP="00CB34ED">
            <w:pPr>
              <w:rPr>
                <w:i/>
                <w:iCs/>
              </w:rPr>
            </w:pPr>
            <w:r w:rsidRPr="0004043B">
              <w:t>4</w:t>
            </w:r>
          </w:p>
        </w:tc>
        <w:tc>
          <w:tcPr>
            <w:tcW w:w="3690" w:type="dxa"/>
            <w:shd w:val="clear" w:color="auto" w:fill="auto"/>
          </w:tcPr>
          <w:p w14:paraId="2C66314D" w14:textId="0BE0616B" w:rsidR="00CB34ED" w:rsidRPr="002B1747" w:rsidRDefault="00CB34ED" w:rsidP="00CB34ED">
            <w:pPr>
              <w:rPr>
                <w:i/>
                <w:iCs/>
              </w:rPr>
            </w:pPr>
            <w:r w:rsidRPr="0004043B">
              <w:t>PODS draft SCADA interface data model</w:t>
            </w:r>
          </w:p>
        </w:tc>
        <w:tc>
          <w:tcPr>
            <w:tcW w:w="2112" w:type="dxa"/>
            <w:shd w:val="clear" w:color="auto" w:fill="auto"/>
          </w:tcPr>
          <w:p w14:paraId="677E1696" w14:textId="156BF847" w:rsidR="00CB34ED" w:rsidRPr="002B1747" w:rsidRDefault="00CB34ED" w:rsidP="00CB34ED">
            <w:pPr>
              <w:rPr>
                <w:i/>
                <w:iCs/>
              </w:rPr>
            </w:pPr>
            <w:r w:rsidRPr="0004043B">
              <w:t>Results to be included in quarterly report</w:t>
            </w:r>
          </w:p>
        </w:tc>
        <w:tc>
          <w:tcPr>
            <w:tcW w:w="1308" w:type="dxa"/>
            <w:gridSpan w:val="2"/>
            <w:shd w:val="clear" w:color="auto" w:fill="auto"/>
          </w:tcPr>
          <w:p w14:paraId="6B355A7F" w14:textId="7C1C9BEC" w:rsidR="00CB34ED" w:rsidRPr="002B1747" w:rsidRDefault="00CB34ED" w:rsidP="00CB34ED">
            <w:pPr>
              <w:jc w:val="right"/>
              <w:rPr>
                <w:i/>
                <w:iCs/>
              </w:rPr>
            </w:pPr>
            <w:r w:rsidRPr="0004043B">
              <w:t xml:space="preserve">$23,796 </w:t>
            </w:r>
          </w:p>
        </w:tc>
        <w:tc>
          <w:tcPr>
            <w:tcW w:w="1080" w:type="dxa"/>
            <w:shd w:val="clear" w:color="auto" w:fill="auto"/>
          </w:tcPr>
          <w:p w14:paraId="78DDAA73" w14:textId="5CF161E7" w:rsidR="00CB34ED" w:rsidRPr="002B1747" w:rsidRDefault="00CB34ED" w:rsidP="00CB34ED">
            <w:pPr>
              <w:jc w:val="right"/>
              <w:rPr>
                <w:i/>
                <w:iCs/>
              </w:rPr>
            </w:pPr>
            <w:r w:rsidRPr="0004043B">
              <w:t xml:space="preserve">$23,796 </w:t>
            </w:r>
          </w:p>
        </w:tc>
      </w:tr>
      <w:tr w:rsidR="002B1747" w:rsidRPr="002B1747" w14:paraId="3991BFFC" w14:textId="77777777" w:rsidTr="00CB34ED">
        <w:trPr>
          <w:trHeight w:val="300"/>
        </w:trPr>
        <w:tc>
          <w:tcPr>
            <w:tcW w:w="670" w:type="dxa"/>
            <w:shd w:val="clear" w:color="auto" w:fill="auto"/>
          </w:tcPr>
          <w:p w14:paraId="561A454E" w14:textId="23A5353C" w:rsidR="002B1747" w:rsidRPr="002B1747" w:rsidRDefault="00F47098" w:rsidP="002B1747">
            <w:pPr>
              <w:rPr>
                <w:bCs/>
                <w:i/>
                <w:iCs/>
              </w:rPr>
            </w:pPr>
            <w:r>
              <w:rPr>
                <w:i/>
                <w:iCs/>
              </w:rPr>
              <w:t>2</w:t>
            </w:r>
            <w:r w:rsidR="00112872">
              <w:rPr>
                <w:i/>
                <w:iCs/>
              </w:rPr>
              <w:t>7</w:t>
            </w:r>
          </w:p>
        </w:tc>
        <w:tc>
          <w:tcPr>
            <w:tcW w:w="698" w:type="dxa"/>
          </w:tcPr>
          <w:p w14:paraId="48E1B626" w14:textId="77777777" w:rsidR="002B1747" w:rsidRPr="002B1747" w:rsidRDefault="002B1747" w:rsidP="002B1747">
            <w:pPr>
              <w:rPr>
                <w:bCs/>
                <w:i/>
                <w:iCs/>
              </w:rPr>
            </w:pPr>
            <w:r w:rsidRPr="002B1747">
              <w:rPr>
                <w:i/>
                <w:iCs/>
              </w:rPr>
              <w:t>1</w:t>
            </w:r>
          </w:p>
        </w:tc>
        <w:tc>
          <w:tcPr>
            <w:tcW w:w="3690" w:type="dxa"/>
            <w:shd w:val="clear" w:color="auto" w:fill="auto"/>
          </w:tcPr>
          <w:p w14:paraId="1615B077" w14:textId="77777777" w:rsidR="002B1747" w:rsidRPr="002B1747" w:rsidRDefault="002B1747" w:rsidP="002B1747">
            <w:pPr>
              <w:rPr>
                <w:bCs/>
                <w:i/>
                <w:iCs/>
              </w:rPr>
            </w:pPr>
            <w:r w:rsidRPr="002B1747">
              <w:rPr>
                <w:i/>
                <w:iCs/>
              </w:rPr>
              <w:t>Quarterly project management &amp; status update</w:t>
            </w:r>
          </w:p>
        </w:tc>
        <w:tc>
          <w:tcPr>
            <w:tcW w:w="2112" w:type="dxa"/>
            <w:shd w:val="clear" w:color="auto" w:fill="auto"/>
          </w:tcPr>
          <w:p w14:paraId="591F84D8" w14:textId="77777777" w:rsidR="002B1747" w:rsidRPr="002B1747" w:rsidRDefault="002B1747" w:rsidP="002B1747">
            <w:pPr>
              <w:rPr>
                <w:bCs/>
                <w:i/>
                <w:iCs/>
              </w:rPr>
            </w:pPr>
            <w:r w:rsidRPr="002B1747">
              <w:rPr>
                <w:i/>
                <w:iCs/>
              </w:rPr>
              <w:t xml:space="preserve">Submit </w:t>
            </w:r>
            <w:r w:rsidR="005B664E">
              <w:rPr>
                <w:i/>
                <w:iCs/>
              </w:rPr>
              <w:t>8</w:t>
            </w:r>
            <w:r w:rsidRPr="002B1747">
              <w:rPr>
                <w:i/>
                <w:iCs/>
              </w:rPr>
              <w:t>th quarterly report</w:t>
            </w:r>
          </w:p>
        </w:tc>
        <w:tc>
          <w:tcPr>
            <w:tcW w:w="1278" w:type="dxa"/>
            <w:shd w:val="clear" w:color="auto" w:fill="auto"/>
          </w:tcPr>
          <w:p w14:paraId="2938347A" w14:textId="77777777" w:rsidR="002B1747" w:rsidRPr="002B1747" w:rsidRDefault="002B1747" w:rsidP="002B1747">
            <w:pPr>
              <w:jc w:val="right"/>
              <w:rPr>
                <w:bCs/>
                <w:i/>
                <w:iCs/>
              </w:rPr>
            </w:pPr>
            <w:r w:rsidRPr="002B1747">
              <w:rPr>
                <w:i/>
                <w:iCs/>
              </w:rPr>
              <w:t>$</w:t>
            </w:r>
            <w:r w:rsidR="00F47098">
              <w:rPr>
                <w:i/>
                <w:iCs/>
              </w:rPr>
              <w:t>2,232</w:t>
            </w:r>
            <w:r w:rsidRPr="002B1747">
              <w:rPr>
                <w:i/>
                <w:iCs/>
              </w:rPr>
              <w:t xml:space="preserve"> </w:t>
            </w:r>
          </w:p>
        </w:tc>
        <w:tc>
          <w:tcPr>
            <w:tcW w:w="1128" w:type="dxa"/>
            <w:gridSpan w:val="3"/>
            <w:shd w:val="clear" w:color="auto" w:fill="auto"/>
          </w:tcPr>
          <w:p w14:paraId="6C41F646" w14:textId="77777777" w:rsidR="002B1747" w:rsidRPr="002B1747" w:rsidRDefault="002B1747" w:rsidP="002B1747">
            <w:pPr>
              <w:jc w:val="right"/>
              <w:rPr>
                <w:bCs/>
                <w:i/>
                <w:iCs/>
              </w:rPr>
            </w:pPr>
            <w:r w:rsidRPr="002B1747">
              <w:rPr>
                <w:i/>
                <w:iCs/>
              </w:rPr>
              <w:t>$</w:t>
            </w:r>
            <w:r w:rsidR="00F47098">
              <w:rPr>
                <w:i/>
                <w:iCs/>
              </w:rPr>
              <w:t>2,232</w:t>
            </w:r>
          </w:p>
        </w:tc>
      </w:tr>
    </w:tbl>
    <w:p w14:paraId="277EF765" w14:textId="77777777" w:rsidR="002B1747" w:rsidRDefault="002B1747" w:rsidP="002B1747">
      <w:pPr>
        <w:rPr>
          <w:b/>
          <w:i/>
        </w:rPr>
      </w:pPr>
    </w:p>
    <w:p w14:paraId="4CE5B728" w14:textId="77777777" w:rsidR="002B1747" w:rsidRPr="002B1747" w:rsidRDefault="002B1747" w:rsidP="002B1747">
      <w:pPr>
        <w:rPr>
          <w:i/>
        </w:rPr>
      </w:pPr>
    </w:p>
    <w:p w14:paraId="23B04EBA" w14:textId="77777777" w:rsidR="002B1747" w:rsidRPr="002B1747" w:rsidRDefault="002B1747" w:rsidP="002B1747">
      <w:pPr>
        <w:rPr>
          <w:b/>
        </w:rPr>
      </w:pPr>
      <w:r w:rsidRPr="002B1747">
        <w:rPr>
          <w:b/>
        </w:rPr>
        <w:t>2: Items Not Completed During this Quarterly Period:</w:t>
      </w:r>
    </w:p>
    <w:p w14:paraId="3DC8FD34" w14:textId="77777777" w:rsidR="002B1747" w:rsidRPr="002B1747" w:rsidRDefault="002B1747" w:rsidP="002B1747">
      <w:pPr>
        <w:rPr>
          <w:i/>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698"/>
        <w:gridCol w:w="3780"/>
        <w:gridCol w:w="1980"/>
        <w:gridCol w:w="1350"/>
        <w:gridCol w:w="1080"/>
      </w:tblGrid>
      <w:tr w:rsidR="002B1747" w:rsidRPr="002B1747" w14:paraId="3CCEB3B5" w14:textId="77777777" w:rsidTr="00C63881">
        <w:trPr>
          <w:trHeight w:val="279"/>
        </w:trPr>
        <w:tc>
          <w:tcPr>
            <w:tcW w:w="670" w:type="dxa"/>
            <w:shd w:val="clear" w:color="auto" w:fill="auto"/>
          </w:tcPr>
          <w:p w14:paraId="62A6803E" w14:textId="77777777" w:rsidR="002B1747" w:rsidRPr="002B1747" w:rsidRDefault="002B1747" w:rsidP="002B1747">
            <w:pPr>
              <w:rPr>
                <w:b/>
                <w:i/>
              </w:rPr>
            </w:pPr>
            <w:r w:rsidRPr="002B1747">
              <w:rPr>
                <w:b/>
                <w:i/>
              </w:rPr>
              <w:t>Item #</w:t>
            </w:r>
          </w:p>
        </w:tc>
        <w:tc>
          <w:tcPr>
            <w:tcW w:w="698" w:type="dxa"/>
          </w:tcPr>
          <w:p w14:paraId="2892A7E3" w14:textId="77777777" w:rsidR="002B1747" w:rsidRPr="002B1747" w:rsidRDefault="002B1747" w:rsidP="002B1747">
            <w:pPr>
              <w:rPr>
                <w:b/>
                <w:i/>
              </w:rPr>
            </w:pPr>
            <w:r w:rsidRPr="002B1747">
              <w:rPr>
                <w:b/>
                <w:i/>
              </w:rPr>
              <w:t>Task #</w:t>
            </w:r>
          </w:p>
        </w:tc>
        <w:tc>
          <w:tcPr>
            <w:tcW w:w="3780" w:type="dxa"/>
            <w:shd w:val="clear" w:color="auto" w:fill="auto"/>
          </w:tcPr>
          <w:p w14:paraId="1D3F6F62" w14:textId="77777777" w:rsidR="002B1747" w:rsidRPr="002B1747" w:rsidRDefault="002B1747" w:rsidP="002B1747">
            <w:pPr>
              <w:rPr>
                <w:b/>
                <w:i/>
              </w:rPr>
            </w:pPr>
            <w:r w:rsidRPr="002B1747">
              <w:rPr>
                <w:b/>
                <w:i/>
              </w:rPr>
              <w:t>Activity/Deliverable</w:t>
            </w:r>
          </w:p>
        </w:tc>
        <w:tc>
          <w:tcPr>
            <w:tcW w:w="1980" w:type="dxa"/>
            <w:shd w:val="clear" w:color="auto" w:fill="auto"/>
          </w:tcPr>
          <w:p w14:paraId="25A0B3C2" w14:textId="77777777" w:rsidR="002B1747" w:rsidRPr="002B1747" w:rsidRDefault="002B1747" w:rsidP="002B1747">
            <w:pPr>
              <w:rPr>
                <w:b/>
                <w:i/>
              </w:rPr>
            </w:pPr>
            <w:r w:rsidRPr="002B1747">
              <w:rPr>
                <w:b/>
                <w:i/>
              </w:rPr>
              <w:t>Title</w:t>
            </w:r>
          </w:p>
        </w:tc>
        <w:tc>
          <w:tcPr>
            <w:tcW w:w="1350" w:type="dxa"/>
            <w:shd w:val="clear" w:color="auto" w:fill="auto"/>
          </w:tcPr>
          <w:p w14:paraId="211CD2F3" w14:textId="77777777" w:rsidR="002B1747" w:rsidRPr="002B1747" w:rsidRDefault="002B1747" w:rsidP="002B1747">
            <w:pPr>
              <w:rPr>
                <w:b/>
                <w:i/>
              </w:rPr>
            </w:pPr>
            <w:r w:rsidRPr="002B1747">
              <w:rPr>
                <w:b/>
                <w:i/>
              </w:rPr>
              <w:t>Federal Cost</w:t>
            </w:r>
          </w:p>
        </w:tc>
        <w:tc>
          <w:tcPr>
            <w:tcW w:w="1080" w:type="dxa"/>
            <w:shd w:val="clear" w:color="auto" w:fill="auto"/>
          </w:tcPr>
          <w:p w14:paraId="69D573F7" w14:textId="77777777" w:rsidR="002B1747" w:rsidRPr="002B1747" w:rsidRDefault="002B1747" w:rsidP="002B1747">
            <w:pPr>
              <w:rPr>
                <w:b/>
                <w:i/>
              </w:rPr>
            </w:pPr>
            <w:r w:rsidRPr="002B1747">
              <w:rPr>
                <w:b/>
                <w:i/>
              </w:rPr>
              <w:t>Cost Share</w:t>
            </w:r>
          </w:p>
        </w:tc>
      </w:tr>
      <w:tr w:rsidR="00F47098" w:rsidRPr="002B1747" w14:paraId="709810F2" w14:textId="77777777" w:rsidTr="00C63881">
        <w:trPr>
          <w:trHeight w:val="279"/>
        </w:trPr>
        <w:tc>
          <w:tcPr>
            <w:tcW w:w="670" w:type="dxa"/>
            <w:shd w:val="clear" w:color="auto" w:fill="auto"/>
          </w:tcPr>
          <w:p w14:paraId="24EDA75B" w14:textId="77777777" w:rsidR="00F47098" w:rsidRPr="002B1747" w:rsidRDefault="00F47098" w:rsidP="002B1747">
            <w:pPr>
              <w:rPr>
                <w:i/>
                <w:iCs/>
              </w:rPr>
            </w:pPr>
            <w:r>
              <w:rPr>
                <w:i/>
                <w:iCs/>
              </w:rPr>
              <w:t>21</w:t>
            </w:r>
          </w:p>
        </w:tc>
        <w:tc>
          <w:tcPr>
            <w:tcW w:w="698" w:type="dxa"/>
          </w:tcPr>
          <w:p w14:paraId="4C3A01C3" w14:textId="77777777" w:rsidR="00F47098" w:rsidRPr="002B1747" w:rsidRDefault="00F47098" w:rsidP="002B1747">
            <w:pPr>
              <w:rPr>
                <w:i/>
                <w:iCs/>
              </w:rPr>
            </w:pPr>
            <w:r>
              <w:rPr>
                <w:i/>
                <w:iCs/>
              </w:rPr>
              <w:t>5</w:t>
            </w:r>
          </w:p>
        </w:tc>
        <w:tc>
          <w:tcPr>
            <w:tcW w:w="3780" w:type="dxa"/>
            <w:shd w:val="clear" w:color="auto" w:fill="auto"/>
          </w:tcPr>
          <w:p w14:paraId="6862618E" w14:textId="77777777" w:rsidR="00F47098" w:rsidRPr="002B1747" w:rsidRDefault="00F47098" w:rsidP="002B1747">
            <w:pPr>
              <w:rPr>
                <w:i/>
                <w:iCs/>
              </w:rPr>
            </w:pPr>
            <w:r w:rsidRPr="00F47098">
              <w:rPr>
                <w:i/>
                <w:iCs/>
              </w:rPr>
              <w:t>Quasi transient pack method documentation</w:t>
            </w:r>
          </w:p>
        </w:tc>
        <w:tc>
          <w:tcPr>
            <w:tcW w:w="1980" w:type="dxa"/>
            <w:shd w:val="clear" w:color="auto" w:fill="auto"/>
          </w:tcPr>
          <w:p w14:paraId="2145604D" w14:textId="77777777" w:rsidR="00F47098" w:rsidRPr="002B1747" w:rsidRDefault="00F47098" w:rsidP="002B1747">
            <w:pPr>
              <w:rPr>
                <w:i/>
                <w:iCs/>
              </w:rPr>
            </w:pPr>
            <w:r w:rsidRPr="00F47098">
              <w:rPr>
                <w:i/>
                <w:iCs/>
              </w:rPr>
              <w:t>Quasi transient pack method documentation</w:t>
            </w:r>
          </w:p>
        </w:tc>
        <w:tc>
          <w:tcPr>
            <w:tcW w:w="1350" w:type="dxa"/>
            <w:shd w:val="clear" w:color="auto" w:fill="auto"/>
          </w:tcPr>
          <w:p w14:paraId="7D8C2A08" w14:textId="77777777" w:rsidR="00F47098" w:rsidRPr="002B1747" w:rsidRDefault="00F47098" w:rsidP="00F47098">
            <w:pPr>
              <w:jc w:val="right"/>
              <w:rPr>
                <w:i/>
                <w:iCs/>
              </w:rPr>
            </w:pPr>
            <w:r>
              <w:rPr>
                <w:i/>
                <w:iCs/>
              </w:rPr>
              <w:t>$18,780</w:t>
            </w:r>
          </w:p>
        </w:tc>
        <w:tc>
          <w:tcPr>
            <w:tcW w:w="1080" w:type="dxa"/>
            <w:shd w:val="clear" w:color="auto" w:fill="auto"/>
          </w:tcPr>
          <w:p w14:paraId="053580BA" w14:textId="77777777" w:rsidR="00F47098" w:rsidRPr="002B1747" w:rsidRDefault="00F47098" w:rsidP="00F47098">
            <w:pPr>
              <w:jc w:val="right"/>
              <w:rPr>
                <w:i/>
                <w:iCs/>
              </w:rPr>
            </w:pPr>
            <w:r>
              <w:rPr>
                <w:i/>
                <w:iCs/>
              </w:rPr>
              <w:t>$18,780</w:t>
            </w:r>
          </w:p>
        </w:tc>
      </w:tr>
      <w:tr w:rsidR="00F47098" w:rsidRPr="002B1747" w14:paraId="51600D5B" w14:textId="77777777" w:rsidTr="00C63881">
        <w:trPr>
          <w:trHeight w:val="279"/>
        </w:trPr>
        <w:tc>
          <w:tcPr>
            <w:tcW w:w="670" w:type="dxa"/>
            <w:shd w:val="clear" w:color="auto" w:fill="auto"/>
          </w:tcPr>
          <w:p w14:paraId="14CF08A8" w14:textId="77777777" w:rsidR="00F47098" w:rsidRPr="002B1747" w:rsidRDefault="00F53EDC" w:rsidP="002B1747">
            <w:pPr>
              <w:rPr>
                <w:i/>
                <w:iCs/>
              </w:rPr>
            </w:pPr>
            <w:r>
              <w:rPr>
                <w:i/>
                <w:iCs/>
              </w:rPr>
              <w:t>24</w:t>
            </w:r>
          </w:p>
        </w:tc>
        <w:tc>
          <w:tcPr>
            <w:tcW w:w="698" w:type="dxa"/>
          </w:tcPr>
          <w:p w14:paraId="658BC881" w14:textId="77777777" w:rsidR="00F47098" w:rsidRPr="002B1747" w:rsidRDefault="00F53EDC" w:rsidP="002B1747">
            <w:pPr>
              <w:rPr>
                <w:i/>
                <w:iCs/>
              </w:rPr>
            </w:pPr>
            <w:r>
              <w:rPr>
                <w:i/>
                <w:iCs/>
              </w:rPr>
              <w:t>2</w:t>
            </w:r>
          </w:p>
        </w:tc>
        <w:tc>
          <w:tcPr>
            <w:tcW w:w="3780" w:type="dxa"/>
            <w:shd w:val="clear" w:color="auto" w:fill="auto"/>
          </w:tcPr>
          <w:p w14:paraId="3E97F4E6" w14:textId="77777777" w:rsidR="00F47098" w:rsidRPr="002B1747" w:rsidRDefault="00F53EDC" w:rsidP="002B1747">
            <w:pPr>
              <w:rPr>
                <w:i/>
                <w:iCs/>
              </w:rPr>
            </w:pPr>
            <w:r w:rsidRPr="00F53EDC">
              <w:rPr>
                <w:i/>
                <w:iCs/>
              </w:rPr>
              <w:t>Pipeline simulated leak analytics w/ tuned and 'as found' system</w:t>
            </w:r>
          </w:p>
        </w:tc>
        <w:tc>
          <w:tcPr>
            <w:tcW w:w="1980" w:type="dxa"/>
            <w:shd w:val="clear" w:color="auto" w:fill="auto"/>
          </w:tcPr>
          <w:p w14:paraId="669AF4F1" w14:textId="77777777" w:rsidR="00F47098" w:rsidRPr="002B1747" w:rsidRDefault="00F53EDC" w:rsidP="002B1747">
            <w:pPr>
              <w:rPr>
                <w:i/>
                <w:iCs/>
              </w:rPr>
            </w:pPr>
            <w:r w:rsidRPr="00F53EDC">
              <w:rPr>
                <w:i/>
                <w:iCs/>
              </w:rPr>
              <w:t>Summary report of simulated leak results.</w:t>
            </w:r>
          </w:p>
        </w:tc>
        <w:tc>
          <w:tcPr>
            <w:tcW w:w="1350" w:type="dxa"/>
            <w:shd w:val="clear" w:color="auto" w:fill="auto"/>
          </w:tcPr>
          <w:p w14:paraId="61B3B623" w14:textId="77777777" w:rsidR="00F47098" w:rsidRPr="002B1747" w:rsidRDefault="00F53EDC" w:rsidP="00F47098">
            <w:pPr>
              <w:jc w:val="right"/>
              <w:rPr>
                <w:i/>
                <w:iCs/>
              </w:rPr>
            </w:pPr>
            <w:r w:rsidRPr="00F53EDC">
              <w:rPr>
                <w:i/>
                <w:iCs/>
              </w:rPr>
              <w:t>$11,579</w:t>
            </w:r>
          </w:p>
        </w:tc>
        <w:tc>
          <w:tcPr>
            <w:tcW w:w="1080" w:type="dxa"/>
            <w:shd w:val="clear" w:color="auto" w:fill="auto"/>
          </w:tcPr>
          <w:p w14:paraId="465F4ED5" w14:textId="77777777" w:rsidR="00F47098" w:rsidRPr="002B1747" w:rsidRDefault="00F53EDC" w:rsidP="00F47098">
            <w:pPr>
              <w:jc w:val="right"/>
              <w:rPr>
                <w:i/>
                <w:iCs/>
              </w:rPr>
            </w:pPr>
            <w:r w:rsidRPr="00F53EDC">
              <w:rPr>
                <w:i/>
                <w:iCs/>
              </w:rPr>
              <w:t>$11,579</w:t>
            </w:r>
          </w:p>
        </w:tc>
      </w:tr>
      <w:tr w:rsidR="00F47098" w:rsidRPr="002B1747" w14:paraId="04E4BA3B" w14:textId="77777777" w:rsidTr="00C63881">
        <w:trPr>
          <w:trHeight w:val="279"/>
        </w:trPr>
        <w:tc>
          <w:tcPr>
            <w:tcW w:w="670" w:type="dxa"/>
            <w:shd w:val="clear" w:color="auto" w:fill="auto"/>
          </w:tcPr>
          <w:p w14:paraId="6CED3CF0" w14:textId="77777777" w:rsidR="00F47098" w:rsidRPr="002B1747" w:rsidRDefault="00F47098" w:rsidP="002B1747">
            <w:pPr>
              <w:rPr>
                <w:i/>
                <w:iCs/>
              </w:rPr>
            </w:pPr>
          </w:p>
        </w:tc>
        <w:tc>
          <w:tcPr>
            <w:tcW w:w="698" w:type="dxa"/>
          </w:tcPr>
          <w:p w14:paraId="6447BE11" w14:textId="77777777" w:rsidR="00F47098" w:rsidRPr="002B1747" w:rsidRDefault="00F47098" w:rsidP="002B1747">
            <w:pPr>
              <w:rPr>
                <w:i/>
                <w:iCs/>
              </w:rPr>
            </w:pPr>
          </w:p>
        </w:tc>
        <w:tc>
          <w:tcPr>
            <w:tcW w:w="3780" w:type="dxa"/>
            <w:shd w:val="clear" w:color="auto" w:fill="auto"/>
          </w:tcPr>
          <w:p w14:paraId="2F538E2F" w14:textId="77777777" w:rsidR="00F47098" w:rsidRPr="002B1747" w:rsidRDefault="00F47098" w:rsidP="002B1747">
            <w:pPr>
              <w:rPr>
                <w:i/>
                <w:iCs/>
              </w:rPr>
            </w:pPr>
          </w:p>
        </w:tc>
        <w:tc>
          <w:tcPr>
            <w:tcW w:w="1980" w:type="dxa"/>
            <w:shd w:val="clear" w:color="auto" w:fill="auto"/>
          </w:tcPr>
          <w:p w14:paraId="33826C27" w14:textId="77777777" w:rsidR="00F47098" w:rsidRPr="002B1747" w:rsidRDefault="00F47098" w:rsidP="002B1747">
            <w:pPr>
              <w:rPr>
                <w:i/>
                <w:iCs/>
              </w:rPr>
            </w:pPr>
          </w:p>
        </w:tc>
        <w:tc>
          <w:tcPr>
            <w:tcW w:w="1350" w:type="dxa"/>
            <w:shd w:val="clear" w:color="auto" w:fill="auto"/>
          </w:tcPr>
          <w:p w14:paraId="2D7BEE29" w14:textId="77777777" w:rsidR="00F47098" w:rsidRPr="002B1747" w:rsidRDefault="00F47098" w:rsidP="00F47098">
            <w:pPr>
              <w:jc w:val="right"/>
              <w:rPr>
                <w:i/>
                <w:iCs/>
              </w:rPr>
            </w:pPr>
          </w:p>
        </w:tc>
        <w:tc>
          <w:tcPr>
            <w:tcW w:w="1080" w:type="dxa"/>
            <w:shd w:val="clear" w:color="auto" w:fill="auto"/>
          </w:tcPr>
          <w:p w14:paraId="066C5425" w14:textId="77777777" w:rsidR="00F47098" w:rsidRPr="002B1747" w:rsidRDefault="00F47098" w:rsidP="00F47098">
            <w:pPr>
              <w:jc w:val="right"/>
              <w:rPr>
                <w:i/>
                <w:iCs/>
              </w:rPr>
            </w:pPr>
          </w:p>
        </w:tc>
      </w:tr>
      <w:tr w:rsidR="00F47098" w:rsidRPr="002B1747" w14:paraId="6E40549A" w14:textId="77777777" w:rsidTr="00C63881">
        <w:trPr>
          <w:trHeight w:val="279"/>
        </w:trPr>
        <w:tc>
          <w:tcPr>
            <w:tcW w:w="670" w:type="dxa"/>
            <w:shd w:val="clear" w:color="auto" w:fill="auto"/>
          </w:tcPr>
          <w:p w14:paraId="55C9120B" w14:textId="77777777" w:rsidR="00F47098" w:rsidRPr="002B1747" w:rsidRDefault="00F47098" w:rsidP="002B1747">
            <w:pPr>
              <w:rPr>
                <w:i/>
                <w:iCs/>
              </w:rPr>
            </w:pPr>
          </w:p>
        </w:tc>
        <w:tc>
          <w:tcPr>
            <w:tcW w:w="698" w:type="dxa"/>
          </w:tcPr>
          <w:p w14:paraId="1DC61B12" w14:textId="77777777" w:rsidR="00F47098" w:rsidRPr="002B1747" w:rsidRDefault="00F47098" w:rsidP="002B1747">
            <w:pPr>
              <w:rPr>
                <w:i/>
                <w:iCs/>
              </w:rPr>
            </w:pPr>
          </w:p>
        </w:tc>
        <w:tc>
          <w:tcPr>
            <w:tcW w:w="3780" w:type="dxa"/>
            <w:shd w:val="clear" w:color="auto" w:fill="auto"/>
          </w:tcPr>
          <w:p w14:paraId="54094AAB" w14:textId="77777777" w:rsidR="00F47098" w:rsidRPr="002B1747" w:rsidRDefault="00F47098" w:rsidP="002B1747">
            <w:pPr>
              <w:rPr>
                <w:i/>
                <w:iCs/>
              </w:rPr>
            </w:pPr>
          </w:p>
        </w:tc>
        <w:tc>
          <w:tcPr>
            <w:tcW w:w="1980" w:type="dxa"/>
            <w:shd w:val="clear" w:color="auto" w:fill="auto"/>
          </w:tcPr>
          <w:p w14:paraId="038266C1" w14:textId="77777777" w:rsidR="00F47098" w:rsidRPr="002B1747" w:rsidRDefault="00F47098" w:rsidP="002B1747">
            <w:pPr>
              <w:rPr>
                <w:i/>
                <w:iCs/>
              </w:rPr>
            </w:pPr>
          </w:p>
        </w:tc>
        <w:tc>
          <w:tcPr>
            <w:tcW w:w="1350" w:type="dxa"/>
            <w:shd w:val="clear" w:color="auto" w:fill="auto"/>
          </w:tcPr>
          <w:p w14:paraId="3CACAB6B" w14:textId="77777777" w:rsidR="00F47098" w:rsidRPr="002B1747" w:rsidRDefault="00F47098" w:rsidP="00F47098">
            <w:pPr>
              <w:jc w:val="right"/>
              <w:rPr>
                <w:i/>
                <w:iCs/>
              </w:rPr>
            </w:pPr>
          </w:p>
        </w:tc>
        <w:tc>
          <w:tcPr>
            <w:tcW w:w="1080" w:type="dxa"/>
            <w:shd w:val="clear" w:color="auto" w:fill="auto"/>
          </w:tcPr>
          <w:p w14:paraId="4738EF47" w14:textId="77777777" w:rsidR="00F47098" w:rsidRPr="002B1747" w:rsidRDefault="00F47098" w:rsidP="00F47098">
            <w:pPr>
              <w:jc w:val="right"/>
              <w:rPr>
                <w:i/>
                <w:iCs/>
              </w:rPr>
            </w:pPr>
          </w:p>
        </w:tc>
      </w:tr>
    </w:tbl>
    <w:p w14:paraId="34FA81AC" w14:textId="77777777" w:rsidR="002B1747" w:rsidRPr="002B1747" w:rsidRDefault="002B1747" w:rsidP="002B1747">
      <w:pPr>
        <w:rPr>
          <w:b/>
          <w:i/>
        </w:rPr>
      </w:pPr>
    </w:p>
    <w:p w14:paraId="094D625A" w14:textId="77777777" w:rsidR="002B1747" w:rsidRPr="002B1747" w:rsidRDefault="002B1747" w:rsidP="002B1747">
      <w:pPr>
        <w:rPr>
          <w:i/>
        </w:rPr>
      </w:pPr>
    </w:p>
    <w:p w14:paraId="78C2D961" w14:textId="77777777" w:rsidR="002B1747" w:rsidRPr="002B1747" w:rsidRDefault="002B1747" w:rsidP="002B1747">
      <w:pPr>
        <w:rPr>
          <w:b/>
        </w:rPr>
      </w:pPr>
      <w:r w:rsidRPr="002B1747">
        <w:rPr>
          <w:b/>
        </w:rPr>
        <w:t>3: Project Financial Tracking During this Quarterly Period:</w:t>
      </w:r>
    </w:p>
    <w:p w14:paraId="661A5167" w14:textId="77777777" w:rsidR="002B1747" w:rsidRPr="002B1747" w:rsidRDefault="002B1747" w:rsidP="002B1747">
      <w:pPr>
        <w:rPr>
          <w:b/>
        </w:rPr>
      </w:pPr>
    </w:p>
    <w:p w14:paraId="1AB1BD4E" w14:textId="77777777" w:rsidR="002B1747" w:rsidRPr="002B1747" w:rsidRDefault="002B1747" w:rsidP="002B1747">
      <w:pPr>
        <w:rPr>
          <w:i/>
          <w:color w:val="000000"/>
          <w:sz w:val="22"/>
        </w:rPr>
      </w:pPr>
      <w:r w:rsidRPr="002B1747">
        <w:rPr>
          <w:i/>
          <w:color w:val="000000"/>
          <w:sz w:val="22"/>
        </w:rPr>
        <w:t>Note that this chart reflects Federal share only.</w:t>
      </w:r>
    </w:p>
    <w:p w14:paraId="2FB8077E" w14:textId="77777777" w:rsidR="002B1747" w:rsidRPr="002B1747" w:rsidRDefault="002B1747" w:rsidP="002B1747">
      <w:pPr>
        <w:rPr>
          <w:i/>
          <w:color w:val="000000"/>
          <w:sz w:val="22"/>
        </w:rPr>
      </w:pPr>
    </w:p>
    <w:p w14:paraId="4204426B" w14:textId="0590A753" w:rsidR="002B1747" w:rsidRPr="002B1747" w:rsidRDefault="002B1747" w:rsidP="002B1747">
      <w:pPr>
        <w:rPr>
          <w:sz w:val="22"/>
        </w:rPr>
      </w:pPr>
    </w:p>
    <w:p w14:paraId="3874CDF3" w14:textId="77777777" w:rsidR="002B1747" w:rsidRPr="002B1747" w:rsidRDefault="002B1747" w:rsidP="002B1747">
      <w:pPr>
        <w:sectPr w:rsidR="002B1747" w:rsidRPr="002B1747" w:rsidSect="00C63881">
          <w:pgSz w:w="12240" w:h="15840"/>
          <w:pgMar w:top="1440" w:right="1440" w:bottom="1440" w:left="1440" w:header="720" w:footer="720" w:gutter="0"/>
          <w:cols w:space="720"/>
          <w:docGrid w:linePitch="360"/>
        </w:sectPr>
      </w:pPr>
    </w:p>
    <w:p w14:paraId="6F6B3E46" w14:textId="28AF497E" w:rsidR="00A42E79" w:rsidRDefault="00000000" w:rsidP="002B1747">
      <w:pPr>
        <w:rPr>
          <w:b/>
        </w:rPr>
      </w:pPr>
      <w:r>
        <w:rPr>
          <w:b/>
        </w:rPr>
        <w:lastRenderedPageBreak/>
        <w:pict w14:anchorId="2C7887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397.5pt;mso-left-percent:-10001;mso-top-percent:-10001;mso-position-horizontal:absolute;mso-position-horizontal-relative:char;mso-position-vertical:absolute;mso-position-vertical-relative:line;mso-left-percent:-10001;mso-top-percent:-10001">
            <v:imagedata r:id="rId11" o:title=""/>
          </v:shape>
        </w:pict>
      </w:r>
    </w:p>
    <w:p w14:paraId="740DBD43" w14:textId="196FC1D1" w:rsidR="002B1747" w:rsidRPr="002B1747" w:rsidRDefault="002B1747" w:rsidP="002B1747">
      <w:pPr>
        <w:rPr>
          <w:b/>
        </w:rPr>
      </w:pPr>
      <w:r w:rsidRPr="002B1747">
        <w:rPr>
          <w:b/>
        </w:rPr>
        <w:t xml:space="preserve">4:  Project Technical Status </w:t>
      </w:r>
    </w:p>
    <w:p w14:paraId="4E22B950" w14:textId="77777777" w:rsidR="002B1747" w:rsidRPr="002B1747" w:rsidRDefault="002B1747" w:rsidP="002B1747">
      <w:pPr>
        <w:rPr>
          <w:iCs/>
          <w:sz w:val="22"/>
        </w:rPr>
      </w:pPr>
      <w:bookmarkStart w:id="0" w:name="_Hlk123037814"/>
    </w:p>
    <w:p w14:paraId="252C0336" w14:textId="77777777" w:rsidR="002B1747" w:rsidRPr="002B1747" w:rsidRDefault="002B1747" w:rsidP="002B1747">
      <w:pPr>
        <w:keepNext/>
        <w:spacing w:before="240" w:after="60"/>
        <w:outlineLvl w:val="1"/>
        <w:rPr>
          <w:rFonts w:ascii="Calibri Light" w:hAnsi="Calibri Light"/>
          <w:b/>
          <w:bCs/>
          <w:i/>
          <w:iCs/>
          <w:sz w:val="28"/>
          <w:szCs w:val="28"/>
        </w:rPr>
      </w:pPr>
      <w:r w:rsidRPr="002B1747">
        <w:rPr>
          <w:rFonts w:ascii="Calibri Light" w:hAnsi="Calibri Light"/>
          <w:b/>
          <w:bCs/>
          <w:i/>
          <w:iCs/>
          <w:sz w:val="28"/>
          <w:szCs w:val="28"/>
        </w:rPr>
        <w:t>Host Site Data</w:t>
      </w:r>
    </w:p>
    <w:p w14:paraId="008A1164" w14:textId="77777777" w:rsidR="000F7206" w:rsidRPr="000F7206" w:rsidRDefault="000F7206" w:rsidP="00A71AE0">
      <w:r w:rsidRPr="000F7206">
        <w:t xml:space="preserve">Applied the inline meter calibration methodology to the host system which has five balance zones with four sets of bi-directional inline meters interconnecting them. </w:t>
      </w:r>
    </w:p>
    <w:p w14:paraId="4BC9DB01" w14:textId="77777777" w:rsidR="000F7206" w:rsidRPr="000F7206" w:rsidRDefault="000F7206" w:rsidP="00A71AE0">
      <w:r w:rsidRPr="000F7206">
        <w:t xml:space="preserve">The inline meter calibration process first adjusts the imbalance of the combined system to zero by splitting the imbalance between the receipts and deliveries for </w:t>
      </w:r>
      <w:proofErr w:type="gramStart"/>
      <w:r w:rsidRPr="000F7206">
        <w:t>a period of time</w:t>
      </w:r>
      <w:proofErr w:type="gramEnd"/>
      <w:r w:rsidRPr="000F7206">
        <w:t xml:space="preserve">. </w:t>
      </w:r>
    </w:p>
    <w:p w14:paraId="19E39F9E" w14:textId="3C47F9F8" w:rsidR="000F7206" w:rsidRPr="000F7206" w:rsidRDefault="000F7206" w:rsidP="00A71AE0">
      <w:pPr>
        <w:numPr>
          <w:ilvl w:val="0"/>
          <w:numId w:val="24"/>
        </w:numPr>
      </w:pPr>
      <w:r w:rsidRPr="000F7206">
        <w:t>January 2022 was chosen as there appeared to be no imbalance changes for the period.</w:t>
      </w:r>
    </w:p>
    <w:p w14:paraId="4C6F1EB4" w14:textId="4CC6FB6D" w:rsidR="000F7206" w:rsidRPr="000F7206" w:rsidRDefault="000F7206" w:rsidP="00A71AE0">
      <w:pPr>
        <w:numPr>
          <w:ilvl w:val="0"/>
          <w:numId w:val="24"/>
        </w:numPr>
      </w:pPr>
      <w:r w:rsidRPr="000F7206">
        <w:t xml:space="preserve">There was one two-day period where a </w:t>
      </w:r>
      <w:r w:rsidR="008B753C">
        <w:t>l</w:t>
      </w:r>
      <w:r w:rsidR="008B753C" w:rsidRPr="000F7206">
        <w:t>ine pack</w:t>
      </w:r>
      <w:r w:rsidRPr="000F7206">
        <w:t xml:space="preserve"> error was present for two days, but no </w:t>
      </w:r>
      <w:r w:rsidR="008B753C">
        <w:t>l</w:t>
      </w:r>
      <w:r w:rsidRPr="000F7206">
        <w:t>ine</w:t>
      </w:r>
      <w:r w:rsidR="008B753C">
        <w:t xml:space="preserve"> </w:t>
      </w:r>
      <w:r w:rsidRPr="000F7206">
        <w:t>pack error was detected at the start or end of the period.</w:t>
      </w:r>
    </w:p>
    <w:p w14:paraId="5DF9C2F8" w14:textId="08A8517A" w:rsidR="000F7206" w:rsidRPr="000F7206" w:rsidRDefault="000F7206" w:rsidP="00A71AE0">
      <w:pPr>
        <w:numPr>
          <w:ilvl w:val="0"/>
          <w:numId w:val="24"/>
        </w:numPr>
      </w:pPr>
      <w:r w:rsidRPr="000F7206">
        <w:t>A single imbalance for the month was applied to each meter daily.</w:t>
      </w:r>
    </w:p>
    <w:p w14:paraId="51B98D4B" w14:textId="3C4A76BC" w:rsidR="000F7206" w:rsidRPr="000F7206" w:rsidRDefault="000F7206" w:rsidP="00A71AE0">
      <w:pPr>
        <w:numPr>
          <w:ilvl w:val="0"/>
          <w:numId w:val="24"/>
        </w:numPr>
      </w:pPr>
      <w:r w:rsidRPr="000F7206">
        <w:t xml:space="preserve">Using this data and grouping the zones on either side of the inline meters, two balances were created for each set of inline meters. For example: to calibrate the inline meters between Zone A and B, balances for Zone A and the combined Zones B, C, D and E were done. To calibrate the inline meters between zone B and C, balances for the </w:t>
      </w:r>
      <w:r w:rsidRPr="000F7206">
        <w:lastRenderedPageBreak/>
        <w:t>combined Zones A and B and the combined Zones C, D and E would be done. This pattern is repeated for all 4 sets of inline meters.</w:t>
      </w:r>
    </w:p>
    <w:p w14:paraId="566E50FC" w14:textId="4D385CD5" w:rsidR="000F7206" w:rsidRDefault="000F7206" w:rsidP="00A71AE0">
      <w:pPr>
        <w:numPr>
          <w:ilvl w:val="0"/>
          <w:numId w:val="24"/>
        </w:numPr>
      </w:pPr>
      <w:r w:rsidRPr="000F7206">
        <w:t xml:space="preserve">The next step would have been to split the difference between each set of balances to come up with a meter calibration factor for each set of inline meters. However, the difference between the inline meter balances showed that the inline meters were already accurately calibrated. </w:t>
      </w:r>
    </w:p>
    <w:p w14:paraId="45E9848F" w14:textId="77777777" w:rsidR="00A71AE0" w:rsidRPr="000F7206" w:rsidRDefault="00A71AE0" w:rsidP="00A71AE0"/>
    <w:p w14:paraId="6A517512" w14:textId="19B63C5A" w:rsidR="006913BF" w:rsidRDefault="000F7206" w:rsidP="00A71AE0">
      <w:r w:rsidRPr="000F7206">
        <w:t xml:space="preserve">Zone A compared to Zones </w:t>
      </w:r>
      <w:proofErr w:type="gramStart"/>
      <w:r w:rsidRPr="000F7206">
        <w:t>B,C</w:t>
      </w:r>
      <w:proofErr w:type="gramEnd"/>
      <w:r w:rsidRPr="000F7206">
        <w:t>,D,E was 0.03%, Zones A,B compared to Zones C,D,E was 0.03%, Zone D compared to Zones A,B,C,E was 0.05% and Zone E compared to Zones A,B,C,D was -0.02%.</w:t>
      </w:r>
      <w:r w:rsidR="006913BF">
        <w:t xml:space="preserve"> As an example, the figure directly below shows the accumulated zone imbalance between Zones C and E:</w:t>
      </w:r>
    </w:p>
    <w:p w14:paraId="5590B039" w14:textId="045C27FB" w:rsidR="006913BF" w:rsidRDefault="00000000" w:rsidP="000F7206">
      <w:pPr>
        <w:keepNext/>
        <w:spacing w:before="240" w:after="60"/>
        <w:outlineLvl w:val="1"/>
        <w:rPr>
          <w:iCs/>
          <w:sz w:val="22"/>
        </w:rPr>
      </w:pPr>
      <w:r>
        <w:rPr>
          <w:iCs/>
          <w:sz w:val="22"/>
        </w:rPr>
        <w:pict w14:anchorId="7206B0F9">
          <v:shape id="_x0000_i1026" type="#_x0000_t75" style="width:468.75pt;height:201pt;mso-left-percent:-10001;mso-top-percent:-10001;mso-position-horizontal:absolute;mso-position-horizontal-relative:char;mso-position-vertical:absolute;mso-position-vertical-relative:line;mso-left-percent:-10001;mso-top-percent:-10001">
            <v:imagedata r:id="rId12" o:title=""/>
          </v:shape>
        </w:pict>
      </w:r>
    </w:p>
    <w:p w14:paraId="4178751F" w14:textId="2B8CF218" w:rsidR="00D966A2" w:rsidRPr="000F7206" w:rsidRDefault="00D966A2" w:rsidP="00E95824">
      <w:r>
        <w:t xml:space="preserve">This is one of scores of </w:t>
      </w:r>
      <w:r w:rsidR="00E95824">
        <w:t xml:space="preserve">analyses </w:t>
      </w:r>
      <w:r w:rsidR="00A71AE0">
        <w:t xml:space="preserve">completed for the host data (it would overwhelm this report to include them all </w:t>
      </w:r>
      <w:proofErr w:type="gramStart"/>
      <w:r w:rsidR="00A71AE0">
        <w:t>here</w:t>
      </w:r>
      <w:proofErr w:type="gramEnd"/>
      <w:r w:rsidR="00A71AE0">
        <w:t xml:space="preserve"> but they will be included in the final report). The imbalance accumulation presented here represents an additional analytic method not anticipated upon the initialization of this project in that it identifies if an imbalance is steady over time or increasing/decreasing and therefore actively </w:t>
      </w:r>
      <w:r w:rsidR="003C5B65">
        <w:t xml:space="preserve">an issue with the case where is more entering a zone than leaving the zone an indication of a possible leak/loss/theft. </w:t>
      </w:r>
    </w:p>
    <w:p w14:paraId="636AF998" w14:textId="70D59E0D" w:rsidR="000F7206" w:rsidRDefault="000F7206" w:rsidP="000F7206">
      <w:pPr>
        <w:keepNext/>
        <w:spacing w:before="240" w:after="60"/>
        <w:outlineLvl w:val="1"/>
        <w:rPr>
          <w:iCs/>
          <w:sz w:val="22"/>
        </w:rPr>
      </w:pPr>
      <w:r>
        <w:rPr>
          <w:iCs/>
          <w:sz w:val="22"/>
        </w:rPr>
        <w:t xml:space="preserve">The analysis showed that the techniques and methods are suitable for </w:t>
      </w:r>
      <w:r w:rsidR="003F5467">
        <w:rPr>
          <w:iCs/>
          <w:sz w:val="22"/>
        </w:rPr>
        <w:t xml:space="preserve">assessing large datasets of real data. Although not part of this </w:t>
      </w:r>
      <w:r w:rsidR="008B753C">
        <w:rPr>
          <w:iCs/>
          <w:sz w:val="22"/>
        </w:rPr>
        <w:t xml:space="preserve">scope of work, the dataset will continue to be used for additional analytics and analysis. A reformatted and blinded version of the dataset will be posted on PRCI’s website for others to use in developing or enhancing other analytical methods </w:t>
      </w:r>
      <w:r w:rsidR="00F25364">
        <w:rPr>
          <w:iCs/>
          <w:sz w:val="22"/>
        </w:rPr>
        <w:t xml:space="preserve">for leak detection and measurement uncertainty reduction. </w:t>
      </w:r>
    </w:p>
    <w:p w14:paraId="76A474ED" w14:textId="70BED129" w:rsidR="002B1747" w:rsidRPr="002B1747" w:rsidRDefault="002B1747" w:rsidP="000F7206">
      <w:pPr>
        <w:keepNext/>
        <w:spacing w:before="240" w:after="60"/>
        <w:outlineLvl w:val="1"/>
        <w:rPr>
          <w:rFonts w:ascii="Calibri Light" w:hAnsi="Calibri Light"/>
          <w:b/>
          <w:bCs/>
          <w:i/>
          <w:iCs/>
          <w:sz w:val="28"/>
          <w:szCs w:val="28"/>
        </w:rPr>
      </w:pPr>
      <w:r w:rsidRPr="002B1747">
        <w:rPr>
          <w:rFonts w:ascii="Calibri Light" w:hAnsi="Calibri Light"/>
          <w:b/>
          <w:bCs/>
          <w:i/>
          <w:iCs/>
          <w:sz w:val="28"/>
          <w:szCs w:val="28"/>
        </w:rPr>
        <w:t>PODS SCADA interface data model</w:t>
      </w:r>
    </w:p>
    <w:p w14:paraId="1E269798" w14:textId="07AD46E4" w:rsidR="002B1747" w:rsidRPr="002B1747" w:rsidRDefault="000D5B58" w:rsidP="002B1747">
      <w:pPr>
        <w:rPr>
          <w:i/>
          <w:iCs/>
        </w:rPr>
      </w:pPr>
      <w:r>
        <w:t xml:space="preserve">The development of the SCADA interface data model </w:t>
      </w:r>
      <w:r w:rsidR="00A42E79">
        <w:t xml:space="preserve">has been completed and published in the official </w:t>
      </w:r>
      <w:r w:rsidR="007C7006">
        <w:t xml:space="preserve">PODS database </w:t>
      </w:r>
      <w:r w:rsidR="00A42E79">
        <w:t>model.</w:t>
      </w:r>
      <w:r w:rsidR="007C7006">
        <w:t xml:space="preserve"> Additional rollout communications will be made at the PODS spring forum: </w:t>
      </w:r>
      <w:hyperlink r:id="rId13" w:history="1">
        <w:r w:rsidR="007C7006" w:rsidRPr="006D0EEB">
          <w:rPr>
            <w:rStyle w:val="Hyperlink"/>
          </w:rPr>
          <w:t>https://pods.org/pods-spring-forum-2025/</w:t>
        </w:r>
      </w:hyperlink>
      <w:r w:rsidR="007C7006">
        <w:t xml:space="preserve">. </w:t>
      </w:r>
    </w:p>
    <w:p w14:paraId="4992607C" w14:textId="77777777" w:rsidR="002B1747" w:rsidRPr="002B1747" w:rsidRDefault="002B1747" w:rsidP="002B1747">
      <w:pPr>
        <w:keepNext/>
        <w:spacing w:before="240" w:after="60"/>
        <w:outlineLvl w:val="1"/>
        <w:rPr>
          <w:rFonts w:ascii="Calibri Light" w:hAnsi="Calibri Light"/>
          <w:b/>
          <w:bCs/>
          <w:i/>
          <w:iCs/>
          <w:sz w:val="28"/>
          <w:szCs w:val="28"/>
        </w:rPr>
      </w:pPr>
      <w:r w:rsidRPr="002B1747">
        <w:rPr>
          <w:rFonts w:ascii="Calibri Light" w:hAnsi="Calibri Light"/>
          <w:b/>
          <w:bCs/>
          <w:i/>
          <w:iCs/>
          <w:sz w:val="28"/>
          <w:szCs w:val="28"/>
        </w:rPr>
        <w:t>Flow Pattern Matching</w:t>
      </w:r>
    </w:p>
    <w:p w14:paraId="0F8C4CB7" w14:textId="361DD943" w:rsidR="002B1747" w:rsidRPr="002B1747" w:rsidRDefault="002B1747" w:rsidP="002B1747">
      <w:r w:rsidRPr="002B1747">
        <w:t>Flow pattern matching analysis proof of concept has been completed and is being codified in a software library. The development of this software library is not part of the scope of this project but is being done at PRCI’s expense as (1) a method to more efficiently process the host site data and (2) to better facilitate potential integration of the methods into end user environments.</w:t>
      </w:r>
      <w:r w:rsidR="000D5B58">
        <w:t xml:space="preserve"> Work on the library is approximately </w:t>
      </w:r>
      <w:r w:rsidR="003855F2">
        <w:t>7</w:t>
      </w:r>
      <w:r w:rsidR="000D5B58">
        <w:t>0% complete.</w:t>
      </w:r>
      <w:r w:rsidR="003855F2">
        <w:t xml:space="preserve"> A review of the methods with an academic advisor </w:t>
      </w:r>
      <w:r w:rsidR="007C7006">
        <w:t xml:space="preserve">was held </w:t>
      </w:r>
      <w:r w:rsidR="003855F2">
        <w:t>in 1Q 2025</w:t>
      </w:r>
      <w:r w:rsidR="007C7006">
        <w:t xml:space="preserve"> with no significant recommendations for modifications for improvement.</w:t>
      </w:r>
    </w:p>
    <w:p w14:paraId="1467CFE4" w14:textId="77777777" w:rsidR="002B1747" w:rsidRPr="002B1747" w:rsidRDefault="002B1747" w:rsidP="002B1747"/>
    <w:p w14:paraId="1B45A566" w14:textId="77777777" w:rsidR="002B1747" w:rsidRPr="002B1747" w:rsidRDefault="002B1747" w:rsidP="002B1747">
      <w:pPr>
        <w:keepNext/>
        <w:spacing w:before="240" w:after="60"/>
        <w:outlineLvl w:val="1"/>
        <w:rPr>
          <w:rFonts w:ascii="Calibri Light" w:hAnsi="Calibri Light"/>
          <w:b/>
          <w:bCs/>
          <w:i/>
          <w:iCs/>
          <w:sz w:val="28"/>
          <w:szCs w:val="28"/>
        </w:rPr>
      </w:pPr>
      <w:r w:rsidRPr="002B1747">
        <w:rPr>
          <w:rFonts w:ascii="Calibri Light" w:hAnsi="Calibri Light"/>
          <w:b/>
          <w:bCs/>
          <w:i/>
          <w:iCs/>
          <w:sz w:val="28"/>
          <w:szCs w:val="28"/>
        </w:rPr>
        <w:t>Quasi transient pack sensitivity analysis</w:t>
      </w:r>
    </w:p>
    <w:p w14:paraId="59E6FCBD" w14:textId="2365D911" w:rsidR="002B1747" w:rsidRPr="002B1747" w:rsidRDefault="007C6350" w:rsidP="002B1747">
      <w:r>
        <w:t>Additional</w:t>
      </w:r>
      <w:r w:rsidR="002B1747" w:rsidRPr="002B1747">
        <w:t xml:space="preserve"> analysis has been completed utilizing PRCI transient data. The data shows that significant errors in lost and unaccounted are generated is pipeline pack (inventory) is not properly accounted for in gaseous systems. </w:t>
      </w:r>
      <w:r w:rsidR="00A134BB">
        <w:t xml:space="preserve">The improvement to the currently used method is to include a lag filter on the calculated pipeline pack based on real-time pipeline pressures. This method has produced more accurate pack calculations than the existing methods without requiring full transient modeling. </w:t>
      </w:r>
      <w:r w:rsidR="00F25364">
        <w:t>Work continues</w:t>
      </w:r>
      <w:r w:rsidR="00A134BB">
        <w:t xml:space="preserve"> to empirically determine the </w:t>
      </w:r>
      <w:r w:rsidR="00F25364">
        <w:t xml:space="preserve">appropriate </w:t>
      </w:r>
      <w:r w:rsidR="00A134BB">
        <w:t>lag coefficient that should be used based on pipe diameter, length, and operating conditions.</w:t>
      </w:r>
    </w:p>
    <w:p w14:paraId="0D7AD1D4" w14:textId="77777777" w:rsidR="002B1747" w:rsidRPr="002B1747" w:rsidRDefault="002B1747" w:rsidP="002B1747"/>
    <w:p w14:paraId="0E9CC0F5" w14:textId="77777777" w:rsidR="002B1747" w:rsidRPr="002B1747" w:rsidRDefault="002B1747" w:rsidP="002B1747">
      <w:pPr>
        <w:rPr>
          <w:iCs/>
          <w:sz w:val="22"/>
        </w:rPr>
      </w:pPr>
      <w:r w:rsidRPr="002B1747">
        <w:rPr>
          <w:b/>
          <w:iCs/>
          <w:sz w:val="22"/>
        </w:rPr>
        <w:t>5: Project Schedule</w:t>
      </w:r>
    </w:p>
    <w:bookmarkEnd w:id="0"/>
    <w:p w14:paraId="2EA31FFE" w14:textId="7A99CB7E" w:rsidR="002B1747" w:rsidRPr="002B1747" w:rsidRDefault="002B1747" w:rsidP="002B1747">
      <w:pPr>
        <w:rPr>
          <w:iCs/>
          <w:sz w:val="22"/>
        </w:rPr>
      </w:pPr>
      <w:r w:rsidRPr="002B1747">
        <w:rPr>
          <w:iCs/>
          <w:sz w:val="22"/>
        </w:rPr>
        <w:t xml:space="preserve">The project is </w:t>
      </w:r>
      <w:r w:rsidR="00507884">
        <w:rPr>
          <w:iCs/>
          <w:sz w:val="22"/>
        </w:rPr>
        <w:t xml:space="preserve">slightly behind </w:t>
      </w:r>
      <w:r w:rsidRPr="002B1747">
        <w:rPr>
          <w:iCs/>
          <w:sz w:val="22"/>
        </w:rPr>
        <w:t xml:space="preserve">schedule based upon the work completed despite having some tasks </w:t>
      </w:r>
      <w:proofErr w:type="gramStart"/>
      <w:r w:rsidRPr="002B1747">
        <w:rPr>
          <w:iCs/>
          <w:sz w:val="22"/>
        </w:rPr>
        <w:t>lag behind</w:t>
      </w:r>
      <w:proofErr w:type="gramEnd"/>
      <w:r w:rsidR="00995288">
        <w:rPr>
          <w:iCs/>
          <w:sz w:val="22"/>
        </w:rPr>
        <w:t xml:space="preserve"> and no-cost (to PHMSA) scope additions</w:t>
      </w:r>
      <w:r w:rsidRPr="002B1747">
        <w:rPr>
          <w:iCs/>
          <w:sz w:val="22"/>
        </w:rPr>
        <w:t xml:space="preserve">. Overall, the project is estimated at </w:t>
      </w:r>
      <w:r w:rsidR="00995288">
        <w:rPr>
          <w:iCs/>
          <w:sz w:val="22"/>
        </w:rPr>
        <w:t>90</w:t>
      </w:r>
      <w:r w:rsidRPr="002B1747">
        <w:rPr>
          <w:iCs/>
          <w:sz w:val="22"/>
        </w:rPr>
        <w:t xml:space="preserve">% complete on a plan of </w:t>
      </w:r>
      <w:r w:rsidR="00995288">
        <w:rPr>
          <w:iCs/>
          <w:sz w:val="22"/>
        </w:rPr>
        <w:t>92</w:t>
      </w:r>
      <w:r w:rsidRPr="002B1747">
        <w:rPr>
          <w:iCs/>
          <w:sz w:val="22"/>
        </w:rPr>
        <w:t>% by end of project Q</w:t>
      </w:r>
      <w:r w:rsidR="00995288">
        <w:rPr>
          <w:iCs/>
          <w:sz w:val="22"/>
        </w:rPr>
        <w:t>10</w:t>
      </w:r>
      <w:r w:rsidRPr="002B1747">
        <w:rPr>
          <w:iCs/>
          <w:sz w:val="22"/>
        </w:rPr>
        <w:t xml:space="preserve">. </w:t>
      </w:r>
    </w:p>
    <w:p w14:paraId="430F1476" w14:textId="77777777" w:rsidR="002B1747" w:rsidRPr="00024B41" w:rsidRDefault="002B1747" w:rsidP="00863949">
      <w:pPr>
        <w:ind w:left="720"/>
        <w:rPr>
          <w:sz w:val="22"/>
        </w:rPr>
      </w:pPr>
    </w:p>
    <w:sectPr w:rsidR="002B1747" w:rsidRPr="00024B41" w:rsidSect="00C638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C757E" w14:textId="77777777" w:rsidR="00D84539" w:rsidRDefault="00D84539" w:rsidP="00CB6D23">
      <w:r>
        <w:separator/>
      </w:r>
    </w:p>
  </w:endnote>
  <w:endnote w:type="continuationSeparator" w:id="0">
    <w:p w14:paraId="1F691963" w14:textId="77777777" w:rsidR="00D84539" w:rsidRDefault="00D84539" w:rsidP="00CB6D23">
      <w:r>
        <w:continuationSeparator/>
      </w:r>
    </w:p>
  </w:endnote>
  <w:endnote w:type="continuationNotice" w:id="1">
    <w:p w14:paraId="72710697" w14:textId="77777777" w:rsidR="00D84539" w:rsidRDefault="00D845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1AE3B" w14:textId="77777777" w:rsidR="00D84539" w:rsidRDefault="00D84539" w:rsidP="00CB6D23">
      <w:r>
        <w:separator/>
      </w:r>
    </w:p>
  </w:footnote>
  <w:footnote w:type="continuationSeparator" w:id="0">
    <w:p w14:paraId="4E7E0650" w14:textId="77777777" w:rsidR="00D84539" w:rsidRDefault="00D84539" w:rsidP="00CB6D23">
      <w:r>
        <w:continuationSeparator/>
      </w:r>
    </w:p>
  </w:footnote>
  <w:footnote w:type="continuationNotice" w:id="1">
    <w:p w14:paraId="4B875EFD" w14:textId="77777777" w:rsidR="00D84539" w:rsidRDefault="00D845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62C05"/>
    <w:multiLevelType w:val="hybridMultilevel"/>
    <w:tmpl w:val="01F8D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6917"/>
    <w:multiLevelType w:val="hybridMultilevel"/>
    <w:tmpl w:val="39443D80"/>
    <w:lvl w:ilvl="0" w:tplc="7810858E">
      <w:numFmt w:val="bullet"/>
      <w:lvlText w:val=""/>
      <w:lvlJc w:val="left"/>
      <w:pPr>
        <w:tabs>
          <w:tab w:val="num" w:pos="2160"/>
        </w:tabs>
        <w:ind w:left="2160" w:hanging="360"/>
      </w:pPr>
      <w:rPr>
        <w:rFonts w:ascii="Symbol" w:eastAsia="Times New Roman" w:hAnsi="Symbol" w:cs="Tahoma" w:hint="default"/>
      </w:rPr>
    </w:lvl>
    <w:lvl w:ilvl="1" w:tplc="04090003" w:tentative="1">
      <w:start w:val="1"/>
      <w:numFmt w:val="bullet"/>
      <w:lvlText w:val="o"/>
      <w:lvlJc w:val="left"/>
      <w:pPr>
        <w:tabs>
          <w:tab w:val="num" w:pos="2880"/>
        </w:tabs>
        <w:ind w:left="2880" w:hanging="360"/>
      </w:pPr>
      <w:rPr>
        <w:rFonts w:ascii="Courier New" w:hAnsi="Courier New" w:cs="Tahoma"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Tahoma"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Tahoma"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17474243"/>
    <w:multiLevelType w:val="hybridMultilevel"/>
    <w:tmpl w:val="43768A14"/>
    <w:lvl w:ilvl="0" w:tplc="ACA84DD6">
      <w:start w:val="1"/>
      <w:numFmt w:val="lowerLetter"/>
      <w:lvlText w:val="(%1)"/>
      <w:lvlJc w:val="left"/>
      <w:pPr>
        <w:tabs>
          <w:tab w:val="num" w:pos="2628"/>
        </w:tabs>
        <w:ind w:left="2628" w:hanging="288"/>
      </w:pPr>
      <w:rPr>
        <w:rFonts w:hint="default"/>
        <w:b/>
      </w:rPr>
    </w:lvl>
    <w:lvl w:ilvl="1" w:tplc="04090003" w:tentative="1">
      <w:start w:val="1"/>
      <w:numFmt w:val="bullet"/>
      <w:lvlText w:val="o"/>
      <w:lvlJc w:val="left"/>
      <w:pPr>
        <w:tabs>
          <w:tab w:val="num" w:pos="1980"/>
        </w:tabs>
        <w:ind w:left="1980" w:hanging="360"/>
      </w:pPr>
      <w:rPr>
        <w:rFonts w:ascii="Courier New" w:hAnsi="Courier New" w:cs="Tahoma"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Tahoma"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Tahoma"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1D0D3507"/>
    <w:multiLevelType w:val="multilevel"/>
    <w:tmpl w:val="5E766D3A"/>
    <w:lvl w:ilvl="0">
      <w:numFmt w:val="bullet"/>
      <w:lvlText w:val=""/>
      <w:lvlJc w:val="left"/>
      <w:pPr>
        <w:tabs>
          <w:tab w:val="num" w:pos="2700"/>
        </w:tabs>
        <w:ind w:left="2700" w:hanging="360"/>
      </w:pPr>
      <w:rPr>
        <w:rFonts w:ascii="Symbol" w:eastAsia="Times New Roman" w:hAnsi="Symbol" w:cs="Tahoma" w:hint="default"/>
      </w:rPr>
    </w:lvl>
    <w:lvl w:ilvl="1">
      <w:start w:val="1"/>
      <w:numFmt w:val="bullet"/>
      <w:lvlText w:val="o"/>
      <w:lvlJc w:val="left"/>
      <w:pPr>
        <w:tabs>
          <w:tab w:val="num" w:pos="1980"/>
        </w:tabs>
        <w:ind w:left="1980" w:hanging="360"/>
      </w:pPr>
      <w:rPr>
        <w:rFonts w:ascii="Courier New" w:hAnsi="Courier New" w:cs="Tahoma"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Tahoma"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Tahoma" w:hint="default"/>
      </w:rPr>
    </w:lvl>
    <w:lvl w:ilvl="8">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1E21188F"/>
    <w:multiLevelType w:val="hybridMultilevel"/>
    <w:tmpl w:val="C2689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A45982"/>
    <w:multiLevelType w:val="hybridMultilevel"/>
    <w:tmpl w:val="0FB4F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A15E4E"/>
    <w:multiLevelType w:val="hybridMultilevel"/>
    <w:tmpl w:val="26B2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FF4D55"/>
    <w:multiLevelType w:val="hybridMultilevel"/>
    <w:tmpl w:val="D884C522"/>
    <w:lvl w:ilvl="0" w:tplc="FEBE7A70">
      <w:start w:val="5"/>
      <w:numFmt w:val="bullet"/>
      <w:lvlText w:val=""/>
      <w:lvlJc w:val="left"/>
      <w:pPr>
        <w:tabs>
          <w:tab w:val="num" w:pos="2520"/>
        </w:tabs>
        <w:ind w:left="2520" w:hanging="360"/>
      </w:pPr>
      <w:rPr>
        <w:rFonts w:ascii="Symbol" w:eastAsia="Times New Roman" w:hAnsi="Symbol" w:cs="Wingdings" w:hint="default"/>
      </w:rPr>
    </w:lvl>
    <w:lvl w:ilvl="1" w:tplc="04090003" w:tentative="1">
      <w:start w:val="1"/>
      <w:numFmt w:val="bullet"/>
      <w:lvlText w:val="o"/>
      <w:lvlJc w:val="left"/>
      <w:pPr>
        <w:tabs>
          <w:tab w:val="num" w:pos="3240"/>
        </w:tabs>
        <w:ind w:left="3240" w:hanging="360"/>
      </w:pPr>
      <w:rPr>
        <w:rFonts w:ascii="Courier New" w:hAnsi="Courier New" w:cs="Tahoma"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Tahoma"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Tahoma"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323D00C6"/>
    <w:multiLevelType w:val="multilevel"/>
    <w:tmpl w:val="5E766D3A"/>
    <w:lvl w:ilvl="0">
      <w:numFmt w:val="bullet"/>
      <w:lvlText w:val=""/>
      <w:lvlJc w:val="left"/>
      <w:pPr>
        <w:tabs>
          <w:tab w:val="num" w:pos="2700"/>
        </w:tabs>
        <w:ind w:left="2700" w:hanging="360"/>
      </w:pPr>
      <w:rPr>
        <w:rFonts w:ascii="Symbol" w:eastAsia="Times New Roman" w:hAnsi="Symbol" w:cs="Tahoma" w:hint="default"/>
      </w:rPr>
    </w:lvl>
    <w:lvl w:ilvl="1">
      <w:start w:val="1"/>
      <w:numFmt w:val="bullet"/>
      <w:lvlText w:val="o"/>
      <w:lvlJc w:val="left"/>
      <w:pPr>
        <w:tabs>
          <w:tab w:val="num" w:pos="1980"/>
        </w:tabs>
        <w:ind w:left="1980" w:hanging="360"/>
      </w:pPr>
      <w:rPr>
        <w:rFonts w:ascii="Courier New" w:hAnsi="Courier New" w:cs="Tahoma"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Tahoma"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Tahoma" w:hint="default"/>
      </w:rPr>
    </w:lvl>
    <w:lvl w:ilvl="8">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3AC84944"/>
    <w:multiLevelType w:val="hybridMultilevel"/>
    <w:tmpl w:val="F8882F9C"/>
    <w:lvl w:ilvl="0" w:tplc="FEBE7A70">
      <w:start w:val="5"/>
      <w:numFmt w:val="bullet"/>
      <w:lvlText w:val=""/>
      <w:lvlJc w:val="left"/>
      <w:pPr>
        <w:tabs>
          <w:tab w:val="num" w:pos="1656"/>
        </w:tabs>
        <w:ind w:left="1656" w:hanging="360"/>
      </w:pPr>
      <w:rPr>
        <w:rFonts w:ascii="Symbol" w:eastAsia="Times New Roman" w:hAnsi="Symbol" w:cs="Wingdings" w:hint="default"/>
      </w:rPr>
    </w:lvl>
    <w:lvl w:ilvl="1" w:tplc="04090003" w:tentative="1">
      <w:start w:val="1"/>
      <w:numFmt w:val="bullet"/>
      <w:lvlText w:val="o"/>
      <w:lvlJc w:val="left"/>
      <w:pPr>
        <w:tabs>
          <w:tab w:val="num" w:pos="2376"/>
        </w:tabs>
        <w:ind w:left="2376" w:hanging="360"/>
      </w:pPr>
      <w:rPr>
        <w:rFonts w:ascii="Courier New" w:hAnsi="Courier New" w:cs="Tahoma"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Tahoma"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Tahoma"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10" w15:restartNumberingAfterBreak="0">
    <w:nsid w:val="43F67078"/>
    <w:multiLevelType w:val="hybridMultilevel"/>
    <w:tmpl w:val="D3A4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2F0FE9"/>
    <w:multiLevelType w:val="hybridMultilevel"/>
    <w:tmpl w:val="14E87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195B2E"/>
    <w:multiLevelType w:val="hybridMultilevel"/>
    <w:tmpl w:val="8F8ED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4139FB"/>
    <w:multiLevelType w:val="hybridMultilevel"/>
    <w:tmpl w:val="27C03AD6"/>
    <w:lvl w:ilvl="0" w:tplc="FEBE7A70">
      <w:start w:val="5"/>
      <w:numFmt w:val="bullet"/>
      <w:lvlText w:val=""/>
      <w:lvlJc w:val="left"/>
      <w:pPr>
        <w:tabs>
          <w:tab w:val="num" w:pos="1656"/>
        </w:tabs>
        <w:ind w:left="1656" w:hanging="360"/>
      </w:pPr>
      <w:rPr>
        <w:rFonts w:ascii="Symbol" w:eastAsia="Times New Roman" w:hAnsi="Symbol" w:cs="Wingdings" w:hint="default"/>
      </w:rPr>
    </w:lvl>
    <w:lvl w:ilvl="1" w:tplc="04090003" w:tentative="1">
      <w:start w:val="1"/>
      <w:numFmt w:val="bullet"/>
      <w:lvlText w:val="o"/>
      <w:lvlJc w:val="left"/>
      <w:pPr>
        <w:tabs>
          <w:tab w:val="num" w:pos="2376"/>
        </w:tabs>
        <w:ind w:left="2376" w:hanging="360"/>
      </w:pPr>
      <w:rPr>
        <w:rFonts w:ascii="Courier New" w:hAnsi="Courier New" w:cs="Tahoma"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Tahoma"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Tahoma"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14" w15:restartNumberingAfterBreak="0">
    <w:nsid w:val="5EE37A74"/>
    <w:multiLevelType w:val="hybridMultilevel"/>
    <w:tmpl w:val="E9108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BE6F6E"/>
    <w:multiLevelType w:val="hybridMultilevel"/>
    <w:tmpl w:val="FD14B2E6"/>
    <w:lvl w:ilvl="0" w:tplc="419A330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96328A"/>
    <w:multiLevelType w:val="hybridMultilevel"/>
    <w:tmpl w:val="467A3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1D79E8"/>
    <w:multiLevelType w:val="hybridMultilevel"/>
    <w:tmpl w:val="3C3A0CB6"/>
    <w:lvl w:ilvl="0" w:tplc="7810858E">
      <w:numFmt w:val="bullet"/>
      <w:lvlText w:val=""/>
      <w:lvlJc w:val="left"/>
      <w:pPr>
        <w:tabs>
          <w:tab w:val="num" w:pos="2700"/>
        </w:tabs>
        <w:ind w:left="2700" w:hanging="360"/>
      </w:pPr>
      <w:rPr>
        <w:rFonts w:ascii="Symbol" w:eastAsia="Times New Roman" w:hAnsi="Symbol" w:cs="Tahoma" w:hint="default"/>
      </w:rPr>
    </w:lvl>
    <w:lvl w:ilvl="1" w:tplc="04090003" w:tentative="1">
      <w:start w:val="1"/>
      <w:numFmt w:val="bullet"/>
      <w:lvlText w:val="o"/>
      <w:lvlJc w:val="left"/>
      <w:pPr>
        <w:tabs>
          <w:tab w:val="num" w:pos="1980"/>
        </w:tabs>
        <w:ind w:left="1980" w:hanging="360"/>
      </w:pPr>
      <w:rPr>
        <w:rFonts w:ascii="Courier New" w:hAnsi="Courier New" w:cs="Tahoma"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Tahoma"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Tahoma"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70B63917"/>
    <w:multiLevelType w:val="multilevel"/>
    <w:tmpl w:val="74AEDAC6"/>
    <w:lvl w:ilvl="0">
      <w:start w:val="1"/>
      <w:numFmt w:val="upperLetter"/>
      <w:pStyle w:val="Appendix1"/>
      <w:lvlText w:val="Appendix %1."/>
      <w:lvlJc w:val="left"/>
      <w:pPr>
        <w:ind w:left="720" w:hanging="720"/>
      </w:pPr>
      <w:rPr>
        <w:rFonts w:hint="default"/>
      </w:rPr>
    </w:lvl>
    <w:lvl w:ilvl="1">
      <w:start w:val="1"/>
      <w:numFmt w:val="decimal"/>
      <w:pStyle w:val="Appendix2"/>
      <w:lvlText w:val="%1.%2."/>
      <w:lvlJc w:val="left"/>
      <w:pPr>
        <w:ind w:left="1008" w:hanging="1008"/>
      </w:pPr>
      <w:rPr>
        <w:rFonts w:hint="default"/>
      </w:rPr>
    </w:lvl>
    <w:lvl w:ilvl="2">
      <w:start w:val="1"/>
      <w:numFmt w:val="decimal"/>
      <w:pStyle w:val="Appendix3"/>
      <w:lvlText w:val="%1.%2.%3"/>
      <w:lvlJc w:val="left"/>
      <w:pPr>
        <w:ind w:left="1296" w:hanging="1296"/>
      </w:pPr>
      <w:rPr>
        <w:rFonts w:hint="default"/>
      </w:rPr>
    </w:lvl>
    <w:lvl w:ilvl="3">
      <w:start w:val="1"/>
      <w:numFmt w:val="decimal"/>
      <w:pStyle w:val="Appendix4"/>
      <w:lvlText w:val="%1.%2.%3.%4."/>
      <w:lvlJc w:val="left"/>
      <w:pPr>
        <w:ind w:left="1584" w:hanging="15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2E055D6"/>
    <w:multiLevelType w:val="hybridMultilevel"/>
    <w:tmpl w:val="7B8AFC88"/>
    <w:lvl w:ilvl="0" w:tplc="FEBE7A70">
      <w:start w:val="5"/>
      <w:numFmt w:val="bullet"/>
      <w:lvlText w:val=""/>
      <w:lvlJc w:val="left"/>
      <w:pPr>
        <w:tabs>
          <w:tab w:val="num" w:pos="1656"/>
        </w:tabs>
        <w:ind w:left="1656" w:hanging="360"/>
      </w:pPr>
      <w:rPr>
        <w:rFonts w:ascii="Symbol" w:eastAsia="Times New Roman" w:hAnsi="Symbol" w:cs="Wingdings" w:hint="default"/>
      </w:rPr>
    </w:lvl>
    <w:lvl w:ilvl="1" w:tplc="04090003" w:tentative="1">
      <w:start w:val="1"/>
      <w:numFmt w:val="bullet"/>
      <w:lvlText w:val="o"/>
      <w:lvlJc w:val="left"/>
      <w:pPr>
        <w:tabs>
          <w:tab w:val="num" w:pos="2376"/>
        </w:tabs>
        <w:ind w:left="2376" w:hanging="360"/>
      </w:pPr>
      <w:rPr>
        <w:rFonts w:ascii="Courier New" w:hAnsi="Courier New" w:cs="Tahoma"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Tahoma"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Tahoma"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20" w15:restartNumberingAfterBreak="0">
    <w:nsid w:val="75FA50DB"/>
    <w:multiLevelType w:val="hybridMultilevel"/>
    <w:tmpl w:val="34D8B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1A1FE4"/>
    <w:multiLevelType w:val="hybridMultilevel"/>
    <w:tmpl w:val="4B44E66A"/>
    <w:lvl w:ilvl="0" w:tplc="0409000F">
      <w:start w:val="1"/>
      <w:numFmt w:val="decimal"/>
      <w:lvlText w:val="%1."/>
      <w:lvlJc w:val="left"/>
      <w:pPr>
        <w:ind w:left="4320" w:hanging="360"/>
      </w:p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2" w15:restartNumberingAfterBreak="0">
    <w:nsid w:val="7DB67CB3"/>
    <w:multiLevelType w:val="hybridMultilevel"/>
    <w:tmpl w:val="5594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43734D"/>
    <w:multiLevelType w:val="hybridMultilevel"/>
    <w:tmpl w:val="5E766D3A"/>
    <w:lvl w:ilvl="0" w:tplc="7810858E">
      <w:numFmt w:val="bullet"/>
      <w:lvlText w:val=""/>
      <w:lvlJc w:val="left"/>
      <w:pPr>
        <w:tabs>
          <w:tab w:val="num" w:pos="2700"/>
        </w:tabs>
        <w:ind w:left="2700" w:hanging="360"/>
      </w:pPr>
      <w:rPr>
        <w:rFonts w:ascii="Symbol" w:eastAsia="Times New Roman" w:hAnsi="Symbol" w:cs="Tahoma" w:hint="default"/>
      </w:rPr>
    </w:lvl>
    <w:lvl w:ilvl="1" w:tplc="04090003" w:tentative="1">
      <w:start w:val="1"/>
      <w:numFmt w:val="bullet"/>
      <w:lvlText w:val="o"/>
      <w:lvlJc w:val="left"/>
      <w:pPr>
        <w:tabs>
          <w:tab w:val="num" w:pos="1980"/>
        </w:tabs>
        <w:ind w:left="1980" w:hanging="360"/>
      </w:pPr>
      <w:rPr>
        <w:rFonts w:ascii="Courier New" w:hAnsi="Courier New" w:cs="Tahoma"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Tahoma"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Tahoma"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16cid:durableId="674652997">
    <w:abstractNumId w:val="19"/>
  </w:num>
  <w:num w:numId="2" w16cid:durableId="150416034">
    <w:abstractNumId w:val="9"/>
  </w:num>
  <w:num w:numId="3" w16cid:durableId="817890451">
    <w:abstractNumId w:val="13"/>
  </w:num>
  <w:num w:numId="4" w16cid:durableId="769198809">
    <w:abstractNumId w:val="7"/>
  </w:num>
  <w:num w:numId="5" w16cid:durableId="1551652881">
    <w:abstractNumId w:val="1"/>
  </w:num>
  <w:num w:numId="6" w16cid:durableId="1496650285">
    <w:abstractNumId w:val="17"/>
  </w:num>
  <w:num w:numId="7" w16cid:durableId="61104592">
    <w:abstractNumId w:val="23"/>
  </w:num>
  <w:num w:numId="8" w16cid:durableId="771362155">
    <w:abstractNumId w:val="8"/>
  </w:num>
  <w:num w:numId="9" w16cid:durableId="1889948309">
    <w:abstractNumId w:val="3"/>
  </w:num>
  <w:num w:numId="10" w16cid:durableId="1729373706">
    <w:abstractNumId w:val="2"/>
  </w:num>
  <w:num w:numId="11" w16cid:durableId="217396598">
    <w:abstractNumId w:val="20"/>
  </w:num>
  <w:num w:numId="12" w16cid:durableId="625352486">
    <w:abstractNumId w:val="0"/>
  </w:num>
  <w:num w:numId="13" w16cid:durableId="972293879">
    <w:abstractNumId w:val="22"/>
  </w:num>
  <w:num w:numId="14" w16cid:durableId="1506550469">
    <w:abstractNumId w:val="12"/>
  </w:num>
  <w:num w:numId="15" w16cid:durableId="153836102">
    <w:abstractNumId w:val="11"/>
  </w:num>
  <w:num w:numId="16" w16cid:durableId="1824422022">
    <w:abstractNumId w:val="16"/>
  </w:num>
  <w:num w:numId="17" w16cid:durableId="238826495">
    <w:abstractNumId w:val="21"/>
  </w:num>
  <w:num w:numId="18" w16cid:durableId="236282894">
    <w:abstractNumId w:val="10"/>
  </w:num>
  <w:num w:numId="19" w16cid:durableId="783962117">
    <w:abstractNumId w:val="5"/>
  </w:num>
  <w:num w:numId="20" w16cid:durableId="589779387">
    <w:abstractNumId w:val="14"/>
  </w:num>
  <w:num w:numId="21" w16cid:durableId="938441552">
    <w:abstractNumId w:val="4"/>
  </w:num>
  <w:num w:numId="22" w16cid:durableId="1903904913">
    <w:abstractNumId w:val="18"/>
  </w:num>
  <w:num w:numId="23" w16cid:durableId="1645507215">
    <w:abstractNumId w:val="6"/>
  </w:num>
  <w:num w:numId="24" w16cid:durableId="20024618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1B53"/>
    <w:rsid w:val="00000BB1"/>
    <w:rsid w:val="00007FA5"/>
    <w:rsid w:val="00024B41"/>
    <w:rsid w:val="00040B41"/>
    <w:rsid w:val="00047C67"/>
    <w:rsid w:val="00054F57"/>
    <w:rsid w:val="00065497"/>
    <w:rsid w:val="00076B72"/>
    <w:rsid w:val="00082675"/>
    <w:rsid w:val="00097435"/>
    <w:rsid w:val="000A5FA8"/>
    <w:rsid w:val="000B3A7B"/>
    <w:rsid w:val="000C4AB4"/>
    <w:rsid w:val="000D5B58"/>
    <w:rsid w:val="000D5E0D"/>
    <w:rsid w:val="000F7206"/>
    <w:rsid w:val="000F7414"/>
    <w:rsid w:val="0010467E"/>
    <w:rsid w:val="00110989"/>
    <w:rsid w:val="001127DB"/>
    <w:rsid w:val="00112872"/>
    <w:rsid w:val="00117249"/>
    <w:rsid w:val="001226C7"/>
    <w:rsid w:val="00141AD1"/>
    <w:rsid w:val="001532AC"/>
    <w:rsid w:val="00172FE7"/>
    <w:rsid w:val="00177D3A"/>
    <w:rsid w:val="001A7928"/>
    <w:rsid w:val="001D5759"/>
    <w:rsid w:val="0020758D"/>
    <w:rsid w:val="00207BDA"/>
    <w:rsid w:val="0021123F"/>
    <w:rsid w:val="00215E7D"/>
    <w:rsid w:val="002404EE"/>
    <w:rsid w:val="00251AF2"/>
    <w:rsid w:val="002548EF"/>
    <w:rsid w:val="0025531F"/>
    <w:rsid w:val="00255384"/>
    <w:rsid w:val="00263E99"/>
    <w:rsid w:val="00286C11"/>
    <w:rsid w:val="002A70BA"/>
    <w:rsid w:val="002B1747"/>
    <w:rsid w:val="002B4FA1"/>
    <w:rsid w:val="002D199E"/>
    <w:rsid w:val="002E65C8"/>
    <w:rsid w:val="002F2D05"/>
    <w:rsid w:val="002F6FF8"/>
    <w:rsid w:val="00307F46"/>
    <w:rsid w:val="003218AD"/>
    <w:rsid w:val="00330DF3"/>
    <w:rsid w:val="00383BEF"/>
    <w:rsid w:val="003855F2"/>
    <w:rsid w:val="003A2C20"/>
    <w:rsid w:val="003A6445"/>
    <w:rsid w:val="003C5B65"/>
    <w:rsid w:val="003D5800"/>
    <w:rsid w:val="003D7597"/>
    <w:rsid w:val="003F5467"/>
    <w:rsid w:val="00405B4A"/>
    <w:rsid w:val="004125AC"/>
    <w:rsid w:val="00424C88"/>
    <w:rsid w:val="00424FCC"/>
    <w:rsid w:val="00433C2F"/>
    <w:rsid w:val="00436B2F"/>
    <w:rsid w:val="00445F45"/>
    <w:rsid w:val="00453FE9"/>
    <w:rsid w:val="00454673"/>
    <w:rsid w:val="00463E71"/>
    <w:rsid w:val="004863D0"/>
    <w:rsid w:val="004A2BDD"/>
    <w:rsid w:val="004B5D46"/>
    <w:rsid w:val="004C043F"/>
    <w:rsid w:val="004C34F3"/>
    <w:rsid w:val="004C5C4A"/>
    <w:rsid w:val="004D22F3"/>
    <w:rsid w:val="004D5860"/>
    <w:rsid w:val="004E27B7"/>
    <w:rsid w:val="004E3D0A"/>
    <w:rsid w:val="004E7DD5"/>
    <w:rsid w:val="00507884"/>
    <w:rsid w:val="00507B03"/>
    <w:rsid w:val="0052762E"/>
    <w:rsid w:val="0053258F"/>
    <w:rsid w:val="0054195E"/>
    <w:rsid w:val="005854DE"/>
    <w:rsid w:val="0058631C"/>
    <w:rsid w:val="00596BAD"/>
    <w:rsid w:val="005A0805"/>
    <w:rsid w:val="005B4E93"/>
    <w:rsid w:val="005B664E"/>
    <w:rsid w:val="005C2A3C"/>
    <w:rsid w:val="005C6EF4"/>
    <w:rsid w:val="005D1C44"/>
    <w:rsid w:val="005D54CF"/>
    <w:rsid w:val="005E3944"/>
    <w:rsid w:val="005F314D"/>
    <w:rsid w:val="00600383"/>
    <w:rsid w:val="00600EF6"/>
    <w:rsid w:val="00606A6A"/>
    <w:rsid w:val="006131B8"/>
    <w:rsid w:val="00657B80"/>
    <w:rsid w:val="006723FF"/>
    <w:rsid w:val="00682509"/>
    <w:rsid w:val="006913BF"/>
    <w:rsid w:val="00693ADC"/>
    <w:rsid w:val="00695F2E"/>
    <w:rsid w:val="006B40CC"/>
    <w:rsid w:val="006C4D4C"/>
    <w:rsid w:val="006E30AD"/>
    <w:rsid w:val="006E379B"/>
    <w:rsid w:val="006E56AD"/>
    <w:rsid w:val="00700763"/>
    <w:rsid w:val="007043CD"/>
    <w:rsid w:val="00717A3E"/>
    <w:rsid w:val="00740BD2"/>
    <w:rsid w:val="007413BB"/>
    <w:rsid w:val="00744E22"/>
    <w:rsid w:val="00747D44"/>
    <w:rsid w:val="00757E0E"/>
    <w:rsid w:val="007924FB"/>
    <w:rsid w:val="007C221C"/>
    <w:rsid w:val="007C29AB"/>
    <w:rsid w:val="007C6350"/>
    <w:rsid w:val="007C7006"/>
    <w:rsid w:val="007F4A24"/>
    <w:rsid w:val="0080321E"/>
    <w:rsid w:val="00831312"/>
    <w:rsid w:val="008324DF"/>
    <w:rsid w:val="008432EE"/>
    <w:rsid w:val="00843C29"/>
    <w:rsid w:val="00851DFA"/>
    <w:rsid w:val="00854BA9"/>
    <w:rsid w:val="00863949"/>
    <w:rsid w:val="008A34F8"/>
    <w:rsid w:val="008A6473"/>
    <w:rsid w:val="008B753C"/>
    <w:rsid w:val="008C4ED9"/>
    <w:rsid w:val="008D4D41"/>
    <w:rsid w:val="008D5339"/>
    <w:rsid w:val="008E5F4D"/>
    <w:rsid w:val="00901968"/>
    <w:rsid w:val="00906B93"/>
    <w:rsid w:val="00931FF1"/>
    <w:rsid w:val="0094627F"/>
    <w:rsid w:val="0095218C"/>
    <w:rsid w:val="00952FA4"/>
    <w:rsid w:val="00956D65"/>
    <w:rsid w:val="00962262"/>
    <w:rsid w:val="00983CF5"/>
    <w:rsid w:val="00987C3D"/>
    <w:rsid w:val="0099111E"/>
    <w:rsid w:val="00995288"/>
    <w:rsid w:val="009B6C1B"/>
    <w:rsid w:val="009B74D3"/>
    <w:rsid w:val="009D788F"/>
    <w:rsid w:val="009E0DEA"/>
    <w:rsid w:val="009E7141"/>
    <w:rsid w:val="009E7AF2"/>
    <w:rsid w:val="00A038C5"/>
    <w:rsid w:val="00A13468"/>
    <w:rsid w:val="00A134BB"/>
    <w:rsid w:val="00A136C1"/>
    <w:rsid w:val="00A20694"/>
    <w:rsid w:val="00A20814"/>
    <w:rsid w:val="00A252CA"/>
    <w:rsid w:val="00A42E3E"/>
    <w:rsid w:val="00A42E79"/>
    <w:rsid w:val="00A518B9"/>
    <w:rsid w:val="00A54A73"/>
    <w:rsid w:val="00A6155D"/>
    <w:rsid w:val="00A638A4"/>
    <w:rsid w:val="00A71AE0"/>
    <w:rsid w:val="00A72EDB"/>
    <w:rsid w:val="00A7344B"/>
    <w:rsid w:val="00A7663D"/>
    <w:rsid w:val="00A817AC"/>
    <w:rsid w:val="00A917AF"/>
    <w:rsid w:val="00A95CB5"/>
    <w:rsid w:val="00AA3702"/>
    <w:rsid w:val="00B05C1E"/>
    <w:rsid w:val="00B239E0"/>
    <w:rsid w:val="00B23A6C"/>
    <w:rsid w:val="00B46C6B"/>
    <w:rsid w:val="00B777FF"/>
    <w:rsid w:val="00B813CF"/>
    <w:rsid w:val="00B93076"/>
    <w:rsid w:val="00BB4402"/>
    <w:rsid w:val="00BE528D"/>
    <w:rsid w:val="00BF0920"/>
    <w:rsid w:val="00C30BB3"/>
    <w:rsid w:val="00C423CD"/>
    <w:rsid w:val="00C454B4"/>
    <w:rsid w:val="00C52D47"/>
    <w:rsid w:val="00C5506C"/>
    <w:rsid w:val="00C62F31"/>
    <w:rsid w:val="00C63881"/>
    <w:rsid w:val="00C66B18"/>
    <w:rsid w:val="00C863D3"/>
    <w:rsid w:val="00C93C6C"/>
    <w:rsid w:val="00CB34ED"/>
    <w:rsid w:val="00CB6D23"/>
    <w:rsid w:val="00CD451E"/>
    <w:rsid w:val="00CF1B53"/>
    <w:rsid w:val="00D03A82"/>
    <w:rsid w:val="00D1710B"/>
    <w:rsid w:val="00D5269B"/>
    <w:rsid w:val="00D76572"/>
    <w:rsid w:val="00D84539"/>
    <w:rsid w:val="00D966A2"/>
    <w:rsid w:val="00DA3359"/>
    <w:rsid w:val="00DB398F"/>
    <w:rsid w:val="00DC0790"/>
    <w:rsid w:val="00DD79FE"/>
    <w:rsid w:val="00DE5BA4"/>
    <w:rsid w:val="00DF6DE3"/>
    <w:rsid w:val="00E00FEE"/>
    <w:rsid w:val="00E02D2E"/>
    <w:rsid w:val="00E05ADA"/>
    <w:rsid w:val="00E3649E"/>
    <w:rsid w:val="00E40779"/>
    <w:rsid w:val="00E455E5"/>
    <w:rsid w:val="00E66C30"/>
    <w:rsid w:val="00E700A5"/>
    <w:rsid w:val="00E87BD6"/>
    <w:rsid w:val="00E95824"/>
    <w:rsid w:val="00EA1DF2"/>
    <w:rsid w:val="00EA70AB"/>
    <w:rsid w:val="00EB0BC3"/>
    <w:rsid w:val="00EB52E7"/>
    <w:rsid w:val="00EB61D2"/>
    <w:rsid w:val="00EC3E27"/>
    <w:rsid w:val="00ED377B"/>
    <w:rsid w:val="00EF7F91"/>
    <w:rsid w:val="00F06BE6"/>
    <w:rsid w:val="00F127C7"/>
    <w:rsid w:val="00F25364"/>
    <w:rsid w:val="00F3427C"/>
    <w:rsid w:val="00F41285"/>
    <w:rsid w:val="00F47098"/>
    <w:rsid w:val="00F47EC5"/>
    <w:rsid w:val="00F53EDC"/>
    <w:rsid w:val="00F648CE"/>
    <w:rsid w:val="00F66B9A"/>
    <w:rsid w:val="00FA2CA3"/>
    <w:rsid w:val="00FB477D"/>
    <w:rsid w:val="00FF4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CDFA37"/>
  <w15:chartTrackingRefBased/>
  <w15:docId w15:val="{1DCB3AC3-1BFF-4393-A858-020A87598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5F2"/>
    <w:rPr>
      <w:sz w:val="24"/>
      <w:szCs w:val="24"/>
    </w:rPr>
  </w:style>
  <w:style w:type="paragraph" w:styleId="Heading1">
    <w:name w:val="heading 1"/>
    <w:basedOn w:val="Normal"/>
    <w:next w:val="Normal"/>
    <w:link w:val="Heading1Char"/>
    <w:uiPriority w:val="9"/>
    <w:qFormat/>
    <w:rsid w:val="00A134BB"/>
    <w:pPr>
      <w:keepNext/>
      <w:spacing w:before="240" w:after="60"/>
      <w:outlineLvl w:val="0"/>
    </w:pPr>
    <w:rPr>
      <w:rFonts w:ascii="Aptos Display" w:hAnsi="Aptos Display"/>
      <w:b/>
      <w:bCs/>
      <w:kern w:val="32"/>
      <w:sz w:val="32"/>
      <w:szCs w:val="32"/>
    </w:rPr>
  </w:style>
  <w:style w:type="paragraph" w:styleId="Heading2">
    <w:name w:val="heading 2"/>
    <w:basedOn w:val="Normal"/>
    <w:next w:val="Normal"/>
    <w:link w:val="Heading2Char"/>
    <w:uiPriority w:val="9"/>
    <w:unhideWhenUsed/>
    <w:qFormat/>
    <w:rsid w:val="006C4D4C"/>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A134BB"/>
    <w:pPr>
      <w:keepNext/>
      <w:spacing w:before="240" w:after="60"/>
      <w:outlineLvl w:val="2"/>
    </w:pPr>
    <w:rPr>
      <w:rFonts w:ascii="Aptos Display" w:hAnsi="Aptos Display"/>
      <w:b/>
      <w:bCs/>
      <w:sz w:val="26"/>
      <w:szCs w:val="26"/>
    </w:rPr>
  </w:style>
  <w:style w:type="paragraph" w:styleId="Heading4">
    <w:name w:val="heading 4"/>
    <w:basedOn w:val="Normal"/>
    <w:next w:val="Normal"/>
    <w:link w:val="Heading4Char"/>
    <w:uiPriority w:val="9"/>
    <w:semiHidden/>
    <w:unhideWhenUsed/>
    <w:qFormat/>
    <w:rsid w:val="00A134BB"/>
    <w:pPr>
      <w:keepNext/>
      <w:spacing w:before="240" w:after="60"/>
      <w:outlineLvl w:val="3"/>
    </w:pPr>
    <w:rPr>
      <w:rFonts w:ascii="Aptos" w:hAnsi="Aptos"/>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FA33BB"/>
    <w:rPr>
      <w:sz w:val="16"/>
      <w:szCs w:val="16"/>
    </w:rPr>
  </w:style>
  <w:style w:type="paragraph" w:styleId="CommentText">
    <w:name w:val="annotation text"/>
    <w:basedOn w:val="Normal"/>
    <w:link w:val="CommentTextChar"/>
    <w:uiPriority w:val="99"/>
    <w:rsid w:val="00FA33BB"/>
    <w:rPr>
      <w:sz w:val="20"/>
      <w:szCs w:val="20"/>
    </w:rPr>
  </w:style>
  <w:style w:type="paragraph" w:styleId="CommentSubject">
    <w:name w:val="annotation subject"/>
    <w:basedOn w:val="CommentText"/>
    <w:next w:val="CommentText"/>
    <w:semiHidden/>
    <w:rsid w:val="00FA33BB"/>
    <w:rPr>
      <w:b/>
      <w:bCs/>
    </w:rPr>
  </w:style>
  <w:style w:type="paragraph" w:styleId="BalloonText">
    <w:name w:val="Balloon Text"/>
    <w:basedOn w:val="Normal"/>
    <w:semiHidden/>
    <w:rsid w:val="00FA33BB"/>
    <w:rPr>
      <w:rFonts w:ascii="Tahoma" w:hAnsi="Tahoma" w:cs="Tahoma"/>
      <w:sz w:val="16"/>
      <w:szCs w:val="16"/>
    </w:rPr>
  </w:style>
  <w:style w:type="table" w:styleId="TableGrid">
    <w:name w:val="Table Grid"/>
    <w:basedOn w:val="TableNormal"/>
    <w:uiPriority w:val="59"/>
    <w:rsid w:val="005276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52762E"/>
    <w:rPr>
      <w:sz w:val="24"/>
      <w:szCs w:val="24"/>
    </w:rPr>
  </w:style>
  <w:style w:type="paragraph" w:styleId="ListParagraph">
    <w:name w:val="List Paragraph"/>
    <w:basedOn w:val="Normal"/>
    <w:uiPriority w:val="34"/>
    <w:qFormat/>
    <w:rsid w:val="009E7141"/>
    <w:pPr>
      <w:ind w:left="720"/>
    </w:pPr>
  </w:style>
  <w:style w:type="paragraph" w:styleId="Header">
    <w:name w:val="header"/>
    <w:basedOn w:val="Normal"/>
    <w:link w:val="HeaderChar"/>
    <w:uiPriority w:val="99"/>
    <w:unhideWhenUsed/>
    <w:rsid w:val="00CB6D23"/>
    <w:pPr>
      <w:tabs>
        <w:tab w:val="center" w:pos="4680"/>
        <w:tab w:val="right" w:pos="9360"/>
      </w:tabs>
    </w:pPr>
  </w:style>
  <w:style w:type="character" w:customStyle="1" w:styleId="HeaderChar">
    <w:name w:val="Header Char"/>
    <w:link w:val="Header"/>
    <w:uiPriority w:val="99"/>
    <w:rsid w:val="00CB6D23"/>
    <w:rPr>
      <w:sz w:val="24"/>
      <w:szCs w:val="24"/>
    </w:rPr>
  </w:style>
  <w:style w:type="paragraph" w:styleId="Footer">
    <w:name w:val="footer"/>
    <w:basedOn w:val="Normal"/>
    <w:link w:val="FooterChar"/>
    <w:uiPriority w:val="99"/>
    <w:unhideWhenUsed/>
    <w:rsid w:val="00CB6D23"/>
    <w:pPr>
      <w:tabs>
        <w:tab w:val="center" w:pos="4680"/>
        <w:tab w:val="right" w:pos="9360"/>
      </w:tabs>
    </w:pPr>
  </w:style>
  <w:style w:type="character" w:customStyle="1" w:styleId="FooterChar">
    <w:name w:val="Footer Char"/>
    <w:link w:val="Footer"/>
    <w:uiPriority w:val="99"/>
    <w:rsid w:val="00CB6D23"/>
    <w:rPr>
      <w:sz w:val="24"/>
      <w:szCs w:val="24"/>
    </w:rPr>
  </w:style>
  <w:style w:type="character" w:styleId="Hyperlink">
    <w:name w:val="Hyperlink"/>
    <w:uiPriority w:val="99"/>
    <w:unhideWhenUsed/>
    <w:rsid w:val="00F3427C"/>
    <w:rPr>
      <w:color w:val="0563C1"/>
      <w:u w:val="single"/>
    </w:rPr>
  </w:style>
  <w:style w:type="character" w:styleId="UnresolvedMention">
    <w:name w:val="Unresolved Mention"/>
    <w:uiPriority w:val="99"/>
    <w:semiHidden/>
    <w:unhideWhenUsed/>
    <w:rsid w:val="00F3427C"/>
    <w:rPr>
      <w:color w:val="605E5C"/>
      <w:shd w:val="clear" w:color="auto" w:fill="E1DFDD"/>
    </w:rPr>
  </w:style>
  <w:style w:type="table" w:customStyle="1" w:styleId="TableGrid1">
    <w:name w:val="Table Grid1"/>
    <w:basedOn w:val="TableNormal"/>
    <w:next w:val="TableGrid"/>
    <w:uiPriority w:val="39"/>
    <w:rsid w:val="00A1346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9"/>
    <w:unhideWhenUsed/>
    <w:qFormat/>
    <w:rsid w:val="00424FCC"/>
    <w:rPr>
      <w:b/>
      <w:bCs/>
      <w:sz w:val="20"/>
      <w:szCs w:val="20"/>
    </w:rPr>
  </w:style>
  <w:style w:type="character" w:customStyle="1" w:styleId="CaptionChar">
    <w:name w:val="Caption Char"/>
    <w:link w:val="Caption"/>
    <w:uiPriority w:val="9"/>
    <w:rsid w:val="00A917AF"/>
    <w:rPr>
      <w:b/>
      <w:bCs/>
    </w:rPr>
  </w:style>
  <w:style w:type="character" w:customStyle="1" w:styleId="Heading2Char">
    <w:name w:val="Heading 2 Char"/>
    <w:link w:val="Heading2"/>
    <w:uiPriority w:val="9"/>
    <w:rsid w:val="006C4D4C"/>
    <w:rPr>
      <w:rFonts w:ascii="Calibri Light" w:eastAsia="Times New Roman" w:hAnsi="Calibri Light" w:cs="Times New Roman"/>
      <w:b/>
      <w:bCs/>
      <w:i/>
      <w:iCs/>
      <w:sz w:val="28"/>
      <w:szCs w:val="28"/>
    </w:rPr>
  </w:style>
  <w:style w:type="character" w:customStyle="1" w:styleId="Heading1Char">
    <w:name w:val="Heading 1 Char"/>
    <w:link w:val="Heading1"/>
    <w:uiPriority w:val="9"/>
    <w:rsid w:val="00A134BB"/>
    <w:rPr>
      <w:rFonts w:ascii="Aptos Display" w:eastAsia="Times New Roman" w:hAnsi="Aptos Display" w:cs="Times New Roman"/>
      <w:b/>
      <w:bCs/>
      <w:kern w:val="32"/>
      <w:sz w:val="32"/>
      <w:szCs w:val="32"/>
    </w:rPr>
  </w:style>
  <w:style w:type="character" w:customStyle="1" w:styleId="CommentTextChar">
    <w:name w:val="Comment Text Char"/>
    <w:link w:val="CommentText"/>
    <w:uiPriority w:val="99"/>
    <w:rsid w:val="00A134BB"/>
  </w:style>
  <w:style w:type="paragraph" w:customStyle="1" w:styleId="Appendix1">
    <w:name w:val="Appendix 1"/>
    <w:basedOn w:val="Heading1"/>
    <w:next w:val="Normal"/>
    <w:uiPriority w:val="5"/>
    <w:qFormat/>
    <w:rsid w:val="00A134BB"/>
    <w:pPr>
      <w:keepNext w:val="0"/>
      <w:widowControl w:val="0"/>
      <w:numPr>
        <w:numId w:val="22"/>
      </w:numPr>
      <w:tabs>
        <w:tab w:val="num" w:pos="360"/>
      </w:tabs>
      <w:spacing w:before="480" w:after="240"/>
      <w:ind w:left="0" w:firstLine="0"/>
      <w:jc w:val="both"/>
    </w:pPr>
    <w:rPr>
      <w:rFonts w:ascii="Times New Roman" w:hAnsi="Times New Roman"/>
      <w:bCs w:val="0"/>
      <w:kern w:val="0"/>
      <w:sz w:val="28"/>
    </w:rPr>
  </w:style>
  <w:style w:type="paragraph" w:customStyle="1" w:styleId="Appendix2">
    <w:name w:val="Appendix 2"/>
    <w:basedOn w:val="Heading2"/>
    <w:next w:val="Normal"/>
    <w:uiPriority w:val="6"/>
    <w:qFormat/>
    <w:rsid w:val="00A134BB"/>
    <w:pPr>
      <w:widowControl w:val="0"/>
      <w:numPr>
        <w:ilvl w:val="1"/>
        <w:numId w:val="22"/>
      </w:numPr>
      <w:tabs>
        <w:tab w:val="num" w:pos="360"/>
      </w:tabs>
      <w:spacing w:before="360" w:after="120"/>
      <w:ind w:left="0" w:firstLine="0"/>
      <w:jc w:val="both"/>
    </w:pPr>
    <w:rPr>
      <w:rFonts w:ascii="Times New Roman" w:hAnsi="Times New Roman" w:cs="Arial"/>
    </w:rPr>
  </w:style>
  <w:style w:type="paragraph" w:customStyle="1" w:styleId="Appendix3">
    <w:name w:val="Appendix 3"/>
    <w:basedOn w:val="Heading3"/>
    <w:next w:val="Normal"/>
    <w:uiPriority w:val="7"/>
    <w:qFormat/>
    <w:rsid w:val="00A134BB"/>
    <w:pPr>
      <w:widowControl w:val="0"/>
      <w:numPr>
        <w:ilvl w:val="2"/>
        <w:numId w:val="22"/>
      </w:numPr>
      <w:tabs>
        <w:tab w:val="num" w:pos="360"/>
        <w:tab w:val="num" w:pos="3096"/>
      </w:tabs>
      <w:spacing w:after="120"/>
      <w:ind w:left="0" w:firstLine="0"/>
      <w:jc w:val="both"/>
    </w:pPr>
    <w:rPr>
      <w:rFonts w:ascii="Times New Roman" w:hAnsi="Times New Roman"/>
      <w:i/>
      <w:sz w:val="24"/>
      <w:u w:val="single"/>
    </w:rPr>
  </w:style>
  <w:style w:type="paragraph" w:customStyle="1" w:styleId="Appendix4">
    <w:name w:val="Appendix 4"/>
    <w:basedOn w:val="Heading4"/>
    <w:next w:val="Normal"/>
    <w:uiPriority w:val="8"/>
    <w:qFormat/>
    <w:rsid w:val="00A134BB"/>
    <w:pPr>
      <w:keepNext w:val="0"/>
      <w:widowControl w:val="0"/>
      <w:numPr>
        <w:ilvl w:val="3"/>
        <w:numId w:val="22"/>
      </w:numPr>
      <w:tabs>
        <w:tab w:val="num" w:pos="360"/>
        <w:tab w:val="num" w:pos="3816"/>
      </w:tabs>
      <w:spacing w:after="240"/>
      <w:ind w:left="0" w:firstLine="0"/>
      <w:jc w:val="both"/>
    </w:pPr>
    <w:rPr>
      <w:rFonts w:ascii="Times New Roman" w:hAnsi="Times New Roman"/>
      <w:sz w:val="24"/>
      <w:szCs w:val="24"/>
    </w:rPr>
  </w:style>
  <w:style w:type="character" w:customStyle="1" w:styleId="Heading3Char">
    <w:name w:val="Heading 3 Char"/>
    <w:link w:val="Heading3"/>
    <w:uiPriority w:val="9"/>
    <w:rsid w:val="00A134BB"/>
    <w:rPr>
      <w:rFonts w:ascii="Aptos Display" w:eastAsia="Times New Roman" w:hAnsi="Aptos Display" w:cs="Times New Roman"/>
      <w:b/>
      <w:bCs/>
      <w:sz w:val="26"/>
      <w:szCs w:val="26"/>
    </w:rPr>
  </w:style>
  <w:style w:type="character" w:customStyle="1" w:styleId="Heading4Char">
    <w:name w:val="Heading 4 Char"/>
    <w:link w:val="Heading4"/>
    <w:uiPriority w:val="9"/>
    <w:semiHidden/>
    <w:rsid w:val="00A134BB"/>
    <w:rPr>
      <w:rFonts w:ascii="Aptos" w:eastAsia="Times New Roman" w:hAnsi="Aptos"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56867">
      <w:bodyDiv w:val="1"/>
      <w:marLeft w:val="0"/>
      <w:marRight w:val="0"/>
      <w:marTop w:val="0"/>
      <w:marBottom w:val="0"/>
      <w:divBdr>
        <w:top w:val="none" w:sz="0" w:space="0" w:color="auto"/>
        <w:left w:val="none" w:sz="0" w:space="0" w:color="auto"/>
        <w:bottom w:val="none" w:sz="0" w:space="0" w:color="auto"/>
        <w:right w:val="none" w:sz="0" w:space="0" w:color="auto"/>
      </w:divBdr>
    </w:div>
    <w:div w:id="48112942">
      <w:bodyDiv w:val="1"/>
      <w:marLeft w:val="0"/>
      <w:marRight w:val="0"/>
      <w:marTop w:val="0"/>
      <w:marBottom w:val="0"/>
      <w:divBdr>
        <w:top w:val="none" w:sz="0" w:space="0" w:color="auto"/>
        <w:left w:val="none" w:sz="0" w:space="0" w:color="auto"/>
        <w:bottom w:val="none" w:sz="0" w:space="0" w:color="auto"/>
        <w:right w:val="none" w:sz="0" w:space="0" w:color="auto"/>
      </w:divBdr>
    </w:div>
    <w:div w:id="150676525">
      <w:bodyDiv w:val="1"/>
      <w:marLeft w:val="0"/>
      <w:marRight w:val="0"/>
      <w:marTop w:val="0"/>
      <w:marBottom w:val="0"/>
      <w:divBdr>
        <w:top w:val="none" w:sz="0" w:space="0" w:color="auto"/>
        <w:left w:val="none" w:sz="0" w:space="0" w:color="auto"/>
        <w:bottom w:val="none" w:sz="0" w:space="0" w:color="auto"/>
        <w:right w:val="none" w:sz="0" w:space="0" w:color="auto"/>
      </w:divBdr>
    </w:div>
    <w:div w:id="209154502">
      <w:bodyDiv w:val="1"/>
      <w:marLeft w:val="0"/>
      <w:marRight w:val="0"/>
      <w:marTop w:val="0"/>
      <w:marBottom w:val="0"/>
      <w:divBdr>
        <w:top w:val="none" w:sz="0" w:space="0" w:color="auto"/>
        <w:left w:val="none" w:sz="0" w:space="0" w:color="auto"/>
        <w:bottom w:val="none" w:sz="0" w:space="0" w:color="auto"/>
        <w:right w:val="none" w:sz="0" w:space="0" w:color="auto"/>
      </w:divBdr>
    </w:div>
    <w:div w:id="266162198">
      <w:bodyDiv w:val="1"/>
      <w:marLeft w:val="0"/>
      <w:marRight w:val="0"/>
      <w:marTop w:val="0"/>
      <w:marBottom w:val="0"/>
      <w:divBdr>
        <w:top w:val="none" w:sz="0" w:space="0" w:color="auto"/>
        <w:left w:val="none" w:sz="0" w:space="0" w:color="auto"/>
        <w:bottom w:val="none" w:sz="0" w:space="0" w:color="auto"/>
        <w:right w:val="none" w:sz="0" w:space="0" w:color="auto"/>
      </w:divBdr>
    </w:div>
    <w:div w:id="335110506">
      <w:bodyDiv w:val="1"/>
      <w:marLeft w:val="0"/>
      <w:marRight w:val="0"/>
      <w:marTop w:val="0"/>
      <w:marBottom w:val="0"/>
      <w:divBdr>
        <w:top w:val="none" w:sz="0" w:space="0" w:color="auto"/>
        <w:left w:val="none" w:sz="0" w:space="0" w:color="auto"/>
        <w:bottom w:val="none" w:sz="0" w:space="0" w:color="auto"/>
        <w:right w:val="none" w:sz="0" w:space="0" w:color="auto"/>
      </w:divBdr>
    </w:div>
    <w:div w:id="520314632">
      <w:bodyDiv w:val="1"/>
      <w:marLeft w:val="0"/>
      <w:marRight w:val="0"/>
      <w:marTop w:val="0"/>
      <w:marBottom w:val="0"/>
      <w:divBdr>
        <w:top w:val="none" w:sz="0" w:space="0" w:color="auto"/>
        <w:left w:val="none" w:sz="0" w:space="0" w:color="auto"/>
        <w:bottom w:val="none" w:sz="0" w:space="0" w:color="auto"/>
        <w:right w:val="none" w:sz="0" w:space="0" w:color="auto"/>
      </w:divBdr>
    </w:div>
    <w:div w:id="617419292">
      <w:bodyDiv w:val="1"/>
      <w:marLeft w:val="0"/>
      <w:marRight w:val="0"/>
      <w:marTop w:val="0"/>
      <w:marBottom w:val="0"/>
      <w:divBdr>
        <w:top w:val="none" w:sz="0" w:space="0" w:color="auto"/>
        <w:left w:val="none" w:sz="0" w:space="0" w:color="auto"/>
        <w:bottom w:val="none" w:sz="0" w:space="0" w:color="auto"/>
        <w:right w:val="none" w:sz="0" w:space="0" w:color="auto"/>
      </w:divBdr>
    </w:div>
    <w:div w:id="893780578">
      <w:bodyDiv w:val="1"/>
      <w:marLeft w:val="0"/>
      <w:marRight w:val="0"/>
      <w:marTop w:val="0"/>
      <w:marBottom w:val="0"/>
      <w:divBdr>
        <w:top w:val="none" w:sz="0" w:space="0" w:color="auto"/>
        <w:left w:val="none" w:sz="0" w:space="0" w:color="auto"/>
        <w:bottom w:val="none" w:sz="0" w:space="0" w:color="auto"/>
        <w:right w:val="none" w:sz="0" w:space="0" w:color="auto"/>
      </w:divBdr>
    </w:div>
    <w:div w:id="964118510">
      <w:bodyDiv w:val="1"/>
      <w:marLeft w:val="0"/>
      <w:marRight w:val="0"/>
      <w:marTop w:val="0"/>
      <w:marBottom w:val="0"/>
      <w:divBdr>
        <w:top w:val="none" w:sz="0" w:space="0" w:color="auto"/>
        <w:left w:val="none" w:sz="0" w:space="0" w:color="auto"/>
        <w:bottom w:val="none" w:sz="0" w:space="0" w:color="auto"/>
        <w:right w:val="none" w:sz="0" w:space="0" w:color="auto"/>
      </w:divBdr>
    </w:div>
    <w:div w:id="1109473843">
      <w:bodyDiv w:val="1"/>
      <w:marLeft w:val="0"/>
      <w:marRight w:val="0"/>
      <w:marTop w:val="0"/>
      <w:marBottom w:val="0"/>
      <w:divBdr>
        <w:top w:val="none" w:sz="0" w:space="0" w:color="auto"/>
        <w:left w:val="none" w:sz="0" w:space="0" w:color="auto"/>
        <w:bottom w:val="none" w:sz="0" w:space="0" w:color="auto"/>
        <w:right w:val="none" w:sz="0" w:space="0" w:color="auto"/>
      </w:divBdr>
    </w:div>
    <w:div w:id="1133866210">
      <w:bodyDiv w:val="1"/>
      <w:marLeft w:val="0"/>
      <w:marRight w:val="0"/>
      <w:marTop w:val="0"/>
      <w:marBottom w:val="0"/>
      <w:divBdr>
        <w:top w:val="none" w:sz="0" w:space="0" w:color="auto"/>
        <w:left w:val="none" w:sz="0" w:space="0" w:color="auto"/>
        <w:bottom w:val="none" w:sz="0" w:space="0" w:color="auto"/>
        <w:right w:val="none" w:sz="0" w:space="0" w:color="auto"/>
      </w:divBdr>
    </w:div>
    <w:div w:id="1151751646">
      <w:bodyDiv w:val="1"/>
      <w:marLeft w:val="0"/>
      <w:marRight w:val="0"/>
      <w:marTop w:val="0"/>
      <w:marBottom w:val="0"/>
      <w:divBdr>
        <w:top w:val="none" w:sz="0" w:space="0" w:color="auto"/>
        <w:left w:val="none" w:sz="0" w:space="0" w:color="auto"/>
        <w:bottom w:val="none" w:sz="0" w:space="0" w:color="auto"/>
        <w:right w:val="none" w:sz="0" w:space="0" w:color="auto"/>
      </w:divBdr>
    </w:div>
    <w:div w:id="1270428188">
      <w:bodyDiv w:val="1"/>
      <w:marLeft w:val="0"/>
      <w:marRight w:val="0"/>
      <w:marTop w:val="0"/>
      <w:marBottom w:val="0"/>
      <w:divBdr>
        <w:top w:val="none" w:sz="0" w:space="0" w:color="auto"/>
        <w:left w:val="none" w:sz="0" w:space="0" w:color="auto"/>
        <w:bottom w:val="none" w:sz="0" w:space="0" w:color="auto"/>
        <w:right w:val="none" w:sz="0" w:space="0" w:color="auto"/>
      </w:divBdr>
    </w:div>
    <w:div w:id="1602487851">
      <w:bodyDiv w:val="1"/>
      <w:marLeft w:val="0"/>
      <w:marRight w:val="0"/>
      <w:marTop w:val="0"/>
      <w:marBottom w:val="0"/>
      <w:divBdr>
        <w:top w:val="none" w:sz="0" w:space="0" w:color="auto"/>
        <w:left w:val="none" w:sz="0" w:space="0" w:color="auto"/>
        <w:bottom w:val="none" w:sz="0" w:space="0" w:color="auto"/>
        <w:right w:val="none" w:sz="0" w:space="0" w:color="auto"/>
      </w:divBdr>
    </w:div>
    <w:div w:id="1642880231">
      <w:bodyDiv w:val="1"/>
      <w:marLeft w:val="0"/>
      <w:marRight w:val="0"/>
      <w:marTop w:val="0"/>
      <w:marBottom w:val="0"/>
      <w:divBdr>
        <w:top w:val="none" w:sz="0" w:space="0" w:color="auto"/>
        <w:left w:val="none" w:sz="0" w:space="0" w:color="auto"/>
        <w:bottom w:val="none" w:sz="0" w:space="0" w:color="auto"/>
        <w:right w:val="none" w:sz="0" w:space="0" w:color="auto"/>
      </w:divBdr>
    </w:div>
    <w:div w:id="1747263023">
      <w:bodyDiv w:val="1"/>
      <w:marLeft w:val="0"/>
      <w:marRight w:val="0"/>
      <w:marTop w:val="0"/>
      <w:marBottom w:val="0"/>
      <w:divBdr>
        <w:top w:val="none" w:sz="0" w:space="0" w:color="auto"/>
        <w:left w:val="none" w:sz="0" w:space="0" w:color="auto"/>
        <w:bottom w:val="none" w:sz="0" w:space="0" w:color="auto"/>
        <w:right w:val="none" w:sz="0" w:space="0" w:color="auto"/>
      </w:divBdr>
    </w:div>
    <w:div w:id="1983193351">
      <w:bodyDiv w:val="1"/>
      <w:marLeft w:val="0"/>
      <w:marRight w:val="0"/>
      <w:marTop w:val="0"/>
      <w:marBottom w:val="0"/>
      <w:divBdr>
        <w:top w:val="none" w:sz="0" w:space="0" w:color="auto"/>
        <w:left w:val="none" w:sz="0" w:space="0" w:color="auto"/>
        <w:bottom w:val="none" w:sz="0" w:space="0" w:color="auto"/>
        <w:right w:val="none" w:sz="0" w:space="0" w:color="auto"/>
      </w:divBdr>
    </w:div>
    <w:div w:id="203248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ds.org/pods-spring-forum-202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ff8a1c-bdc1-437c-8fce-09dcc749c0a5"/>
    <lcf76f155ced4ddcb4097134ff3c332f xmlns="e7503f34-dcd5-4f7d-badf-0ddc02b6a8b6">
      <Terms xmlns="http://schemas.microsoft.com/office/infopath/2007/PartnerControls"/>
    </lcf76f155ced4ddcb4097134ff3c332f>
    <Notes0 xmlns="e7503f34-dcd5-4f7d-badf-0ddc02b6a8b6" xsi:nil="true"/>
  </documentManagement>
</p:properties>
</file>

<file path=customXml/item2.xml><?xml version="1.0" encoding="utf-8"?>
<b:Sources xmlns:b="http://schemas.openxmlformats.org/officeDocument/2006/bibliography" xmlns="http://schemas.openxmlformats.org/officeDocument/2006/bibliography" SelectedStyle="\ISO690Nmerical.XSL" StyleName="ISO 690 - Numerical Reference" Version="1987"/>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AE15B460721D4E812A119FA9F3707E" ma:contentTypeVersion="20" ma:contentTypeDescription="Create a new document." ma:contentTypeScope="" ma:versionID="7af518c17073101056854b8d72d56fb2">
  <xsd:schema xmlns:xsd="http://www.w3.org/2001/XMLSchema" xmlns:xs="http://www.w3.org/2001/XMLSchema" xmlns:p="http://schemas.microsoft.com/office/2006/metadata/properties" xmlns:ns2="e7503f34-dcd5-4f7d-badf-0ddc02b6a8b6" xmlns:ns3="2cff8a1c-bdc1-437c-8fce-09dcc749c0a5" targetNamespace="http://schemas.microsoft.com/office/2006/metadata/properties" ma:root="true" ma:fieldsID="ed34689e59edfa751c8f9796f7de6e88" ns2:_="" ns3:_="">
    <xsd:import namespace="e7503f34-dcd5-4f7d-badf-0ddc02b6a8b6"/>
    <xsd:import namespace="2cff8a1c-bdc1-437c-8fce-09dcc749c0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Notes0"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03f34-dcd5-4f7d-badf-0ddc02b6a8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Notes0" ma:index="20" nillable="true" ma:displayName="Notes" ma:description="Revision Notes" ma:format="Dropdown" ma:internalName="Notes0">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08c548-889b-4a4f-bb93-9b7b4c7adad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ff8a1c-bdc1-437c-8fce-09dcc749c0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5d6e3f6-9df4-4791-88e6-3fbc301706a9}" ma:internalName="TaxCatchAll" ma:showField="CatchAllData" ma:web="2cff8a1c-bdc1-437c-8fce-09dcc749c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2AAFF1-C427-4F0D-8B7E-8A6F8BB6A39A}">
  <ds:schemaRefs>
    <ds:schemaRef ds:uri="http://schemas.microsoft.com/office/2006/metadata/properties"/>
    <ds:schemaRef ds:uri="http://schemas.microsoft.com/office/infopath/2007/PartnerControls"/>
    <ds:schemaRef ds:uri="2cff8a1c-bdc1-437c-8fce-09dcc749c0a5"/>
    <ds:schemaRef ds:uri="e7503f34-dcd5-4f7d-badf-0ddc02b6a8b6"/>
  </ds:schemaRefs>
</ds:datastoreItem>
</file>

<file path=customXml/itemProps2.xml><?xml version="1.0" encoding="utf-8"?>
<ds:datastoreItem xmlns:ds="http://schemas.openxmlformats.org/officeDocument/2006/customXml" ds:itemID="{00E139FA-29AC-4F60-99EE-4F73AB1299F3}">
  <ds:schemaRefs>
    <ds:schemaRef ds:uri="http://schemas.openxmlformats.org/officeDocument/2006/bibliography"/>
  </ds:schemaRefs>
</ds:datastoreItem>
</file>

<file path=customXml/itemProps3.xml><?xml version="1.0" encoding="utf-8"?>
<ds:datastoreItem xmlns:ds="http://schemas.openxmlformats.org/officeDocument/2006/customXml" ds:itemID="{F0C62C03-C039-4BD6-A969-02F0D9A9F287}">
  <ds:schemaRefs>
    <ds:schemaRef ds:uri="http://schemas.microsoft.com/sharepoint/v3/contenttype/forms"/>
  </ds:schemaRefs>
</ds:datastoreItem>
</file>

<file path=customXml/itemProps4.xml><?xml version="1.0" encoding="utf-8"?>
<ds:datastoreItem xmlns:ds="http://schemas.openxmlformats.org/officeDocument/2006/customXml" ds:itemID="{AA48C621-45C6-4ED1-A320-36F4C9149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03f34-dcd5-4f7d-badf-0ddc02b6a8b6"/>
    <ds:schemaRef ds:uri="2cff8a1c-bdc1-437c-8fce-09dcc749c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Quarterly Report</vt:lpstr>
    </vt:vector>
  </TitlesOfParts>
  <Company>Paxian Corporation</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Report</dc:title>
  <dc:subject/>
  <dc:creator>Mary Lockhart</dc:creator>
  <cp:keywords/>
  <cp:lastModifiedBy>Gary Choquette</cp:lastModifiedBy>
  <cp:revision>20</cp:revision>
  <cp:lastPrinted>2023-04-06T19:14:00Z</cp:lastPrinted>
  <dcterms:created xsi:type="dcterms:W3CDTF">2025-04-01T17:13:00Z</dcterms:created>
  <dcterms:modified xsi:type="dcterms:W3CDTF">2025-04-01T19:38:00Z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0x01010097AE15B460721D4E812A119FA9F3707E</vt:lpwstr>
  </property>
  <property fmtid="{D5CDD505-2E9C-101B-9397-08002B2CF9AE}" pid="3" name="MediaServiceImageTags">
    <vt:lpwstr/>
  </property>
</Properties>
</file>